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pPr>
      <w:r>
        <w:rPr>
          <w:rFonts w:ascii="华文中宋" w:hAnsi="华文中宋" w:eastAsia="华文中宋" w:cs="Arial"/>
          <w:b/>
          <w:sz w:val="40"/>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华文中宋" w:hAnsi="华文中宋" w:eastAsia="华文中宋" w:cs="Arial"/>
          <w:b/>
          <w:sz w:val="40"/>
          <w:szCs w:val="28"/>
        </w:rPr>
        <w:instrText xml:space="preserve">ADDIN CNKISM.UserStyle</w:instrText>
      </w:r>
      <w:r>
        <w:rPr>
          <w:rFonts w:ascii="华文中宋" w:hAnsi="华文中宋" w:eastAsia="华文中宋" w:cs="Arial"/>
          <w:b/>
          <w:sz w:val="40"/>
          <w:szCs w:val="28"/>
        </w:rPr>
        <w:fldChar w:fldCharType="end"/>
      </w:r>
      <w:r>
        <w:rPr>
          <w:rFonts w:hint="eastAsia" w:ascii="华文中宋" w:hAnsi="华文中宋" w:eastAsia="华文中宋" w:cs="Arial"/>
          <w:b/>
          <w:sz w:val="40"/>
          <w:szCs w:val="28"/>
        </w:rPr>
        <w:t>河南辖区上市公司2</w:t>
      </w:r>
      <w:r>
        <w:rPr>
          <w:rFonts w:ascii="华文中宋" w:hAnsi="华文中宋" w:eastAsia="华文中宋" w:cs="Arial"/>
          <w:b/>
          <w:sz w:val="40"/>
          <w:szCs w:val="28"/>
        </w:rPr>
        <w:t>月</w:t>
      </w:r>
      <w:r>
        <w:rPr>
          <w:rFonts w:hint="eastAsia" w:ascii="华文中宋" w:hAnsi="华文中宋" w:eastAsia="华文中宋" w:cs="Arial"/>
          <w:b/>
          <w:sz w:val="40"/>
          <w:szCs w:val="28"/>
        </w:rPr>
        <w:t>市场动态</w:t>
      </w:r>
    </w:p>
    <w:p>
      <w:pPr>
        <w:spacing w:after="156" w:afterLines="50" w:line="360" w:lineRule="auto"/>
        <w:ind w:firstLine="560" w:firstLineChars="200"/>
        <w:rPr>
          <w:rFonts w:ascii="仿宋" w:hAnsi="仿宋" w:eastAsia="仿宋"/>
          <w:sz w:val="28"/>
        </w:rPr>
      </w:pPr>
      <w:r>
        <w:rPr>
          <w:rFonts w:hint="eastAsia" w:ascii="仿宋" w:hAnsi="仿宋" w:eastAsia="仿宋"/>
          <w:sz w:val="28"/>
        </w:rPr>
        <w:t>河南上市公司协会联合上海信公科技集团股份有限公司，就河南辖区上市公司202</w:t>
      </w:r>
      <w:r>
        <w:rPr>
          <w:rFonts w:hint="eastAsia" w:ascii="仿宋" w:hAnsi="仿宋" w:eastAsia="仿宋"/>
          <w:sz w:val="28"/>
          <w:lang w:val="en-US" w:eastAsia="zh-CN"/>
        </w:rPr>
        <w:t>3</w:t>
      </w:r>
      <w:r>
        <w:rPr>
          <w:rFonts w:hint="eastAsia" w:ascii="仿宋" w:hAnsi="仿宋" w:eastAsia="仿宋"/>
          <w:sz w:val="28"/>
        </w:rPr>
        <w:t>年</w:t>
      </w:r>
      <w:r>
        <w:rPr>
          <w:rFonts w:hint="eastAsia" w:ascii="仿宋" w:hAnsi="仿宋" w:eastAsia="仿宋"/>
          <w:sz w:val="28"/>
          <w:lang w:val="en-US" w:eastAsia="zh-CN"/>
        </w:rPr>
        <w:t>2</w:t>
      </w:r>
      <w:r>
        <w:rPr>
          <w:rFonts w:hint="eastAsia" w:ascii="仿宋" w:hAnsi="仿宋" w:eastAsia="仿宋"/>
          <w:sz w:val="28"/>
        </w:rPr>
        <w:t>月份市场表现及公开披露的相关信息进行归纳总结、对比分析，具体如下：</w:t>
      </w:r>
      <w:bookmarkStart w:id="0" w:name="_GoBack"/>
      <w:bookmarkEnd w:id="0"/>
    </w:p>
    <w:p>
      <w:pPr>
        <w:spacing w:after="156" w:afterLines="50" w:line="360" w:lineRule="auto"/>
        <w:rPr>
          <w:rFonts w:ascii="仿宋" w:hAnsi="仿宋" w:eastAsia="仿宋"/>
          <w:b/>
          <w:sz w:val="28"/>
        </w:rPr>
      </w:pPr>
      <w:r>
        <w:rPr>
          <w:rFonts w:hint="eastAsia" w:ascii="仿宋" w:hAnsi="仿宋" w:eastAsia="仿宋"/>
          <w:b/>
          <w:sz w:val="28"/>
        </w:rPr>
        <w:t>一、2</w:t>
      </w:r>
      <w:r>
        <w:rPr>
          <w:rFonts w:ascii="仿宋" w:hAnsi="仿宋" w:eastAsia="仿宋"/>
          <w:b/>
          <w:sz w:val="28"/>
        </w:rPr>
        <w:t>月</w:t>
      </w:r>
      <w:r>
        <w:rPr>
          <w:rFonts w:hint="eastAsia" w:ascii="仿宋" w:hAnsi="仿宋" w:eastAsia="仿宋"/>
          <w:b/>
          <w:sz w:val="28"/>
        </w:rPr>
        <w:t>份国内重要财经新闻浏览</w:t>
      </w:r>
    </w:p>
    <w:p>
      <w:pPr>
        <w:widowControl/>
        <w:ind w:firstLine="562" w:firstLineChars="200"/>
        <w:rPr>
          <w:rFonts w:ascii="仿宋" w:hAnsi="仿宋" w:eastAsia="仿宋" w:cs="仿宋"/>
          <w:bCs/>
          <w:sz w:val="28"/>
          <w:szCs w:val="28"/>
        </w:rPr>
      </w:pPr>
      <w:r>
        <w:rPr>
          <w:rFonts w:hint="eastAsia" w:ascii="仿宋" w:hAnsi="仿宋" w:eastAsia="仿宋" w:cs="仿宋"/>
          <w:b/>
          <w:sz w:val="28"/>
          <w:szCs w:val="28"/>
        </w:rPr>
        <w:t>1.国资委：着力推进新一轮国企改革</w:t>
      </w:r>
      <w:r>
        <w:rPr>
          <w:rFonts w:ascii="仿宋" w:hAnsi="仿宋" w:eastAsia="仿宋" w:cs="仿宋"/>
          <w:b/>
          <w:sz w:val="28"/>
          <w:szCs w:val="28"/>
        </w:rPr>
        <w:t>,</w:t>
      </w:r>
      <w:r>
        <w:rPr>
          <w:rFonts w:hint="eastAsia" w:ascii="仿宋" w:hAnsi="仿宋" w:eastAsia="仿宋" w:cs="仿宋"/>
          <w:b/>
          <w:sz w:val="28"/>
          <w:szCs w:val="28"/>
        </w:rPr>
        <w:t>加大对战略性新兴产业的布局。</w:t>
      </w:r>
      <w:r>
        <w:rPr>
          <w:rFonts w:hint="eastAsia" w:ascii="仿宋" w:hAnsi="仿宋" w:eastAsia="仿宋" w:cs="仿宋"/>
          <w:bCs/>
          <w:sz w:val="28"/>
          <w:szCs w:val="28"/>
        </w:rPr>
        <w:t>国资委党委2月20日召开扩大会议，会议指出，要积极行动起来，加快推进国资央企高质量发展，在促进消费、扩大有效投资、防范化解风险等方面下更大功夫，围绕“一利五率”目标管理体系，推动中央企业实现质的有效提升和量的合理增长；强化企业创新主体地位，不断提高科技投入产出效率；着力推进新一轮国企改革，提高企业核心竞争力、增强核心功能；优化调整国有资本布局结构，加大对战略性新兴产业的布局；提高有效投资质量，提振发展信心；做好企业债务、房地产、金融等重点领域风险防控，牢牢守住不发生重大风险的底线。</w:t>
      </w:r>
    </w:p>
    <w:p>
      <w:pPr>
        <w:widowControl/>
        <w:ind w:firstLine="562" w:firstLineChars="200"/>
        <w:rPr>
          <w:rFonts w:ascii="仿宋" w:hAnsi="仿宋" w:eastAsia="仿宋" w:cs="仿宋"/>
          <w:sz w:val="28"/>
          <w:szCs w:val="28"/>
        </w:rPr>
      </w:pPr>
      <w:r>
        <w:rPr>
          <w:rFonts w:hint="eastAsia" w:ascii="仿宋" w:hAnsi="仿宋" w:eastAsia="仿宋"/>
          <w:b/>
          <w:bCs/>
          <w:sz w:val="28"/>
          <w:szCs w:val="28"/>
        </w:rPr>
        <w:t>2</w:t>
      </w:r>
      <w:r>
        <w:rPr>
          <w:rFonts w:hint="eastAsia" w:ascii="仿宋" w:hAnsi="仿宋" w:eastAsia="仿宋" w:cs="仿宋"/>
          <w:b/>
          <w:bCs/>
          <w:sz w:val="28"/>
          <w:szCs w:val="28"/>
        </w:rPr>
        <w:t>.财政部：发挥财政稳投资促消费作用</w:t>
      </w:r>
      <w:r>
        <w:rPr>
          <w:rFonts w:ascii="仿宋" w:hAnsi="仿宋" w:eastAsia="仿宋" w:cs="仿宋"/>
          <w:b/>
          <w:bCs/>
          <w:sz w:val="28"/>
          <w:szCs w:val="28"/>
        </w:rPr>
        <w:t>,</w:t>
      </w:r>
      <w:r>
        <w:rPr>
          <w:rFonts w:hint="eastAsia" w:ascii="仿宋" w:hAnsi="仿宋" w:eastAsia="仿宋" w:cs="仿宋"/>
          <w:b/>
          <w:bCs/>
          <w:sz w:val="28"/>
          <w:szCs w:val="28"/>
        </w:rPr>
        <w:t>着力扩大国内需求。</w:t>
      </w:r>
      <w:r>
        <w:rPr>
          <w:rFonts w:hint="eastAsia" w:ascii="仿宋" w:hAnsi="仿宋" w:eastAsia="仿宋" w:cs="仿宋"/>
          <w:sz w:val="28"/>
          <w:szCs w:val="28"/>
        </w:rPr>
        <w:t>财政部部长刘昆表示，发挥财政稳投资促消费作用，着力扩大国内需求。要强化政府投资对全社会投资的引导带动。在打基础、利长远、补短板、调结构上加大投资，加快实施“十四五”重大工程，加强交通、能源、水利、农业、信息等基础设施建设。强化部门协同，做好项目前期准备工作，提高项目储备质量，专项债券项目要确保融资和收益平衡。适当提高资金使用集中度，优先支持成熟度高的项目和在建项目，并与政策性开发性金融工具项目做好衔接。政府投资要讲究绩效，向资金使用效益高的地方倾斜，鼓励和吸引更多民间资本参与。要促进恢复和扩大消费。再支持一批国家综合货运枢纽补链强链，畅通物流网络。继续支持各地实施县域商业建设行动，充分挖掘县乡消费潜力。鼓励有条件的地区对绿色智能家电、绿色建材、节能产品等予以适当补贴或贷款贴息。同时，要加力稳定外贸外资。完善关税、进口环节税收和出口退税政策，优化外经贸发展专项资金支持方式，鼓励发展跨境电商、海外仓等外贸新业态，支持扩大先进技术、重要设备、能源资源等产品进口，深入开展外经贸提质增效示范，促进外贸稳定、产业升级。逐步扩大“零关税”清单，加大压力测试，加快建设海南自由贸易港。对接国际高标准经贸规则，支持自由贸易试验区改革创新。</w:t>
      </w:r>
    </w:p>
    <w:p>
      <w:pPr>
        <w:widowControl/>
        <w:ind w:firstLine="562" w:firstLineChars="200"/>
        <w:rPr>
          <w:rFonts w:ascii="仿宋" w:hAnsi="仿宋" w:eastAsia="仿宋" w:cs="仿宋"/>
          <w:sz w:val="28"/>
          <w:szCs w:val="28"/>
        </w:rPr>
      </w:pPr>
      <w:r>
        <w:rPr>
          <w:rFonts w:hint="eastAsia" w:ascii="仿宋" w:hAnsi="仿宋" w:eastAsia="仿宋" w:cs="仿宋"/>
          <w:b/>
          <w:bCs/>
          <w:sz w:val="28"/>
          <w:szCs w:val="28"/>
        </w:rPr>
        <w:t>3.商务部：2023年要稳住出口贸易</w:t>
      </w:r>
      <w:r>
        <w:rPr>
          <w:rFonts w:ascii="仿宋" w:hAnsi="仿宋" w:eastAsia="仿宋" w:cs="仿宋"/>
          <w:b/>
          <w:bCs/>
          <w:sz w:val="28"/>
          <w:szCs w:val="28"/>
        </w:rPr>
        <w:t>,</w:t>
      </w:r>
      <w:r>
        <w:rPr>
          <w:rFonts w:hint="eastAsia" w:ascii="仿宋" w:hAnsi="仿宋" w:eastAsia="仿宋" w:cs="仿宋"/>
          <w:b/>
          <w:bCs/>
          <w:sz w:val="28"/>
          <w:szCs w:val="28"/>
        </w:rPr>
        <w:t>合理扩大进口。</w:t>
      </w:r>
      <w:r>
        <w:rPr>
          <w:rFonts w:hint="eastAsia" w:ascii="仿宋" w:hAnsi="仿宋" w:eastAsia="仿宋" w:cs="仿宋"/>
          <w:sz w:val="28"/>
          <w:szCs w:val="28"/>
        </w:rPr>
        <w:t>商务部对外贸易司司长李兴乾表示，2023年，我们要更大力度推动外贸稳规模优结构，要稳定出口对国民经济的支撑作用。要精心服务好外贸企业主体，优化出台新的贸易政策，助力企业降本增效、解决问题，持续提高外贸综合竞争力。重点要落实好四项举措：一是强化贸易促进。密切供应商和采购商对接，稳住出口贸易。要全面恢复举办广交会等一系列国内出口展会线下展。同时，全力支持外贸企业参加境外各类专业展，从而创造更多的贸易机会。二是合理扩大进口。我们要密切同贸易伙伴的合作关系，发挥中国超大规模市场优势，扩大各国优质产品进口，从而稳定全球贸易供应链。三是要深化贸易创新。促进跨境电商、海外仓等新业态持续、快速、健康发展。四是稳定外贸产业基础。要持续优化外贸产业结构，在做强一般贸易的同时，支持加工贸易向中西部、东北地区梯度转移，升级发展。</w:t>
      </w:r>
    </w:p>
    <w:p>
      <w:pPr>
        <w:widowControl/>
        <w:ind w:firstLine="562" w:firstLineChars="200"/>
        <w:rPr>
          <w:rFonts w:ascii="仿宋" w:hAnsi="仿宋" w:eastAsia="仿宋" w:cs="仿宋"/>
          <w:sz w:val="28"/>
          <w:szCs w:val="28"/>
        </w:rPr>
      </w:pPr>
      <w:r>
        <w:rPr>
          <w:rFonts w:hint="eastAsia" w:ascii="仿宋" w:hAnsi="仿宋" w:eastAsia="仿宋" w:cs="仿宋"/>
          <w:b/>
          <w:bCs/>
          <w:sz w:val="28"/>
          <w:szCs w:val="28"/>
        </w:rPr>
        <w:t>4.央行：坚持市场在汇率形成中起决定性作用</w:t>
      </w:r>
      <w:r>
        <w:rPr>
          <w:rFonts w:ascii="仿宋" w:hAnsi="仿宋" w:eastAsia="仿宋" w:cs="仿宋"/>
          <w:b/>
          <w:bCs/>
          <w:sz w:val="28"/>
          <w:szCs w:val="28"/>
        </w:rPr>
        <w:t>,</w:t>
      </w:r>
      <w:r>
        <w:rPr>
          <w:rFonts w:hint="eastAsia" w:ascii="仿宋" w:hAnsi="仿宋" w:eastAsia="仿宋" w:cs="仿宋"/>
          <w:b/>
          <w:bCs/>
          <w:sz w:val="28"/>
          <w:szCs w:val="28"/>
        </w:rPr>
        <w:t>增强人民币汇率弹性。</w:t>
      </w:r>
      <w:r>
        <w:rPr>
          <w:rFonts w:hint="eastAsia" w:ascii="仿宋" w:hAnsi="仿宋" w:eastAsia="仿宋" w:cs="仿宋"/>
          <w:sz w:val="28"/>
          <w:szCs w:val="28"/>
        </w:rPr>
        <w:t>央行发布2022年第四季度中国货币政策执行报告，下一阶段，深化利率汇率市场化改革，以我为主兼顾内外平衡。继续推进利率市场化改革，畅通货币政策传导渠道。健全市场化利率形成和传导机制，完善中央银行政策利率体系，引导市场利率围绕政策利率波动。落实存款利率市场化调整机制，着力稳定银行负债成本。发挥贷款市场报价利率改革效能，推动企业融资成本和个人消费信贷成本稳中有降。稳步深化汇率市场化改革，完善以市场供求为基础、参考一篮子货币进行调节、有管理的浮动汇率制度，坚持市场在汇率形成中起决定性作用，增强人民币汇率弹性，加强预期管理，坚持底线思维，做好跨境资金流动的监测分析和风险防范，保持人民币汇率在合理均衡水平上的基本稳定，发挥汇率调节宏观经济和国际收支自动稳定器功能。</w:t>
      </w:r>
    </w:p>
    <w:p>
      <w:pPr>
        <w:widowControl/>
        <w:ind w:firstLine="562" w:firstLineChars="200"/>
        <w:rPr>
          <w:rFonts w:ascii="仿宋" w:hAnsi="仿宋" w:eastAsia="仿宋" w:cs="仿宋"/>
          <w:sz w:val="28"/>
          <w:szCs w:val="28"/>
        </w:rPr>
      </w:pPr>
      <w:r>
        <w:rPr>
          <w:rFonts w:hint="eastAsia" w:ascii="仿宋" w:hAnsi="仿宋" w:eastAsia="仿宋" w:cs="仿宋"/>
          <w:b/>
          <w:bCs/>
          <w:sz w:val="28"/>
          <w:szCs w:val="28"/>
        </w:rPr>
        <w:t>5.证监会：启动不动产私募投资基金试点</w:t>
      </w:r>
      <w:r>
        <w:rPr>
          <w:rFonts w:ascii="仿宋" w:hAnsi="仿宋" w:eastAsia="仿宋" w:cs="仿宋"/>
          <w:b/>
          <w:bCs/>
          <w:sz w:val="28"/>
          <w:szCs w:val="28"/>
        </w:rPr>
        <w:t>,</w:t>
      </w:r>
      <w:r>
        <w:rPr>
          <w:rFonts w:hint="eastAsia" w:ascii="仿宋" w:hAnsi="仿宋" w:eastAsia="仿宋" w:cs="仿宋"/>
          <w:b/>
          <w:bCs/>
          <w:sz w:val="28"/>
          <w:szCs w:val="28"/>
        </w:rPr>
        <w:t>支持不动产市场平稳健康发展。</w:t>
      </w:r>
      <w:r>
        <w:rPr>
          <w:rFonts w:hint="eastAsia" w:ascii="仿宋" w:hAnsi="仿宋" w:eastAsia="仿宋" w:cs="仿宋"/>
          <w:sz w:val="28"/>
          <w:szCs w:val="28"/>
        </w:rPr>
        <w:t>此次试点工作是证监会落实党中央和国务院有关“促进房地产业良性循环和健康发展”决策部署，健全资本市场功能，促进房地产市场盘活存量，支持私募基金行业发挥服务实体经济功能的重要举措。不动产私募投资基金的投资范围包括特定居住用房（包括存量商品住宅、保障性住房、市场化租赁住房）、商业经营用房、基础设施项目等。考虑到不动产私募投资基金的规模较大、期限较长等特点，投资者需要有更高的风险识别能力和风险承担能力，试点基金产品的投资者首轮实缴出资不低于1</w:t>
      </w:r>
      <w:r>
        <w:rPr>
          <w:rFonts w:ascii="仿宋" w:hAnsi="仿宋" w:eastAsia="仿宋" w:cs="仿宋"/>
          <w:sz w:val="28"/>
          <w:szCs w:val="28"/>
        </w:rPr>
        <w:t>,</w:t>
      </w:r>
      <w:r>
        <w:rPr>
          <w:rFonts w:hint="eastAsia" w:ascii="仿宋" w:hAnsi="仿宋" w:eastAsia="仿宋" w:cs="仿宋"/>
          <w:sz w:val="28"/>
          <w:szCs w:val="28"/>
        </w:rPr>
        <w:t>000万元人民币，且以机构投资者为主。有自然人投资者的，自然人投资者合计出资金额不得超过基金实缴金额的20%，基金投资方式也将有一定限制。不动产私募投资基金首轮实缴募集资金规模不得低于3</w:t>
      </w:r>
      <w:r>
        <w:rPr>
          <w:rFonts w:ascii="仿宋" w:hAnsi="仿宋" w:eastAsia="仿宋" w:cs="仿宋"/>
          <w:sz w:val="28"/>
          <w:szCs w:val="28"/>
        </w:rPr>
        <w:t>,</w:t>
      </w:r>
      <w:r>
        <w:rPr>
          <w:rFonts w:hint="eastAsia" w:ascii="仿宋" w:hAnsi="仿宋" w:eastAsia="仿宋" w:cs="仿宋"/>
          <w:sz w:val="28"/>
          <w:szCs w:val="28"/>
        </w:rPr>
        <w:t>000万元人民币，在符合一定要求前提下可以扩募。鼓励境外投资者以QFLP方式投资不动产私募投资基金。</w:t>
      </w:r>
    </w:p>
    <w:p>
      <w:pPr>
        <w:spacing w:line="360" w:lineRule="auto"/>
        <w:rPr>
          <w:rFonts w:ascii="仿宋" w:hAnsi="仿宋" w:eastAsia="仿宋" w:cs="仿宋"/>
          <w:b/>
          <w:sz w:val="28"/>
          <w:szCs w:val="28"/>
        </w:rPr>
      </w:pPr>
      <w:r>
        <w:rPr>
          <w:rFonts w:hint="eastAsia" w:ascii="仿宋" w:hAnsi="仿宋" w:eastAsia="仿宋" w:cs="仿宋"/>
          <w:b/>
          <w:sz w:val="28"/>
          <w:szCs w:val="28"/>
        </w:rPr>
        <w:t>二、2</w:t>
      </w:r>
      <w:r>
        <w:rPr>
          <w:rFonts w:ascii="仿宋" w:hAnsi="仿宋" w:eastAsia="仿宋" w:cs="仿宋"/>
          <w:b/>
          <w:sz w:val="28"/>
          <w:szCs w:val="28"/>
        </w:rPr>
        <w:t>月</w:t>
      </w:r>
      <w:r>
        <w:rPr>
          <w:rFonts w:hint="eastAsia" w:ascii="仿宋" w:hAnsi="仿宋" w:eastAsia="仿宋" w:cs="仿宋"/>
          <w:b/>
          <w:sz w:val="28"/>
          <w:szCs w:val="28"/>
        </w:rPr>
        <w:t>份券商的行业研究情况浏览</w:t>
      </w:r>
    </w:p>
    <w:p>
      <w:pPr>
        <w:ind w:firstLine="562" w:firstLineChars="200"/>
        <w:rPr>
          <w:rFonts w:ascii="仿宋" w:hAnsi="仿宋" w:eastAsia="仿宋" w:cs="仿宋"/>
          <w:b/>
          <w:bCs/>
          <w:color w:val="333333"/>
          <w:sz w:val="28"/>
          <w:szCs w:val="28"/>
          <w:shd w:val="clear" w:color="auto" w:fill="FFFFFF"/>
        </w:rPr>
      </w:pPr>
      <w:r>
        <w:rPr>
          <w:rFonts w:hint="eastAsia" w:ascii="仿宋" w:hAnsi="仿宋" w:eastAsia="仿宋" w:cs="仿宋"/>
          <w:b/>
          <w:bCs/>
          <w:color w:val="333333"/>
          <w:sz w:val="28"/>
          <w:szCs w:val="28"/>
          <w:shd w:val="clear" w:color="auto" w:fill="FFFFFF"/>
        </w:rPr>
        <w:t>1</w:t>
      </w:r>
      <w:r>
        <w:rPr>
          <w:rFonts w:ascii="仿宋" w:hAnsi="仿宋" w:eastAsia="仿宋" w:cs="仿宋"/>
          <w:b/>
          <w:bCs/>
          <w:color w:val="333333"/>
          <w:sz w:val="28"/>
          <w:szCs w:val="28"/>
          <w:shd w:val="clear" w:color="auto" w:fill="FFFFFF"/>
        </w:rPr>
        <w:t>.</w:t>
      </w:r>
      <w:r>
        <w:rPr>
          <w:rFonts w:hint="eastAsia" w:ascii="仿宋" w:hAnsi="仿宋" w:eastAsia="仿宋" w:cs="仿宋"/>
          <w:b/>
          <w:bCs/>
          <w:color w:val="333333"/>
          <w:sz w:val="28"/>
          <w:szCs w:val="28"/>
          <w:shd w:val="clear" w:color="auto" w:fill="FFFFFF"/>
        </w:rPr>
        <w:t>国资委加大国防军工等重点安全领域布局，深化国企改革推进——国防军工</w:t>
      </w:r>
    </w:p>
    <w:p>
      <w:pPr>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月6日国资委会议指出加大国防军工等重点安全领域布局，提升支撑保障能力。会议统筹深化国资国企改革推进高质量发展。我们认为国资委在国防军工等领域的加大布局，随着央企落实深化国企改革，国防军工行业将迎来进一步发展。我国无人飞艇事件，强化国防军工投资逻辑：美方通过臆测中国民用无人飞艇为军事用途实施军事措施，中国国防部发表谈话表示保留使用必要手段处置类似情况的权利。该事件折射出中美两国关系博弈，或将进一步坚定我国持续推动国防军工发展决心，强化国防军工投资逻辑。中国空间站全面建成后航天员首次出舱活动圆满完成，看好航天产业链修复：2月10日神舟十五号航天员乘组圆满完成出舱活动全部既定任务。2023年航天科技集团计划安排50余次宇航发射任务、载人空间站工程进入应用与发展阶段。在“航天强国”背景下，我们认为航天产业链有望在十四五后半段迎来修复。高景气度配合相对低估值：当前整体PETTM为55倍，处于过去十年历史10.6%分位，中长期配置价值凸显。</w:t>
      </w:r>
    </w:p>
    <w:p>
      <w:pPr>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国防军工12字核心逻辑：内生+外延、内需+外贸、军品+民品。（1）国防军工“内生”增长趋势强劲，“规模效应/股权激励/小核心大协作/定价改革/大订单+大额预付”等催化下，企业运行效率也将持续提升。（2）“外延”增长方向明确：国企改革持续深化，未来几年军工资产证券化/核心军品重组上市有望掀起新一轮高潮，关注军工集团重组进程。（3）“民品+外贸”将为增长提供动力：中国坦克/无人机/教练机/战斗机等具备全球竞争力，外贸需求逐步崛起；国产大飞机/民用航空发动机相关民品自主可控也将提速。</w:t>
      </w:r>
    </w:p>
    <w:p>
      <w:pPr>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2023年军工机会大于风险。看好导弹/信息化/航发/军机子行业，军机“十四五”复合增速约22%。航发受益“维保+换发”、“十四五”复合增速约26%。导弹受益于“战略储备+耗材属性”，信息化受益于“信息化程度加深+国产替代”，增速更高。</w:t>
      </w:r>
    </w:p>
    <w:p>
      <w:pPr>
        <w:pStyle w:val="7"/>
        <w:spacing w:before="156" w:beforeLines="50" w:beforeAutospacing="0" w:after="156" w:afterLines="50" w:afterAutospacing="0" w:line="360" w:lineRule="auto"/>
        <w:ind w:firstLine="210" w:firstLineChars="100"/>
        <w:jc w:val="right"/>
        <w:rPr>
          <w:rFonts w:ascii="微软雅黑" w:hAnsi="微软雅黑" w:eastAsia="微软雅黑" w:cs="Calibri"/>
          <w:color w:val="A6A6A6" w:themeColor="background1" w:themeShade="A6"/>
          <w:sz w:val="21"/>
          <w:szCs w:val="21"/>
        </w:rPr>
      </w:pPr>
      <w:r>
        <w:rPr>
          <w:rFonts w:hint="eastAsia" w:ascii="微软雅黑" w:hAnsi="微软雅黑" w:eastAsia="微软雅黑" w:cs="Calibri"/>
          <w:color w:val="A6A6A6" w:themeColor="background1" w:themeShade="A6"/>
          <w:sz w:val="21"/>
          <w:szCs w:val="21"/>
        </w:rPr>
        <w:t>（内容来源：浙商证券股份有限公司202</w:t>
      </w:r>
      <w:r>
        <w:rPr>
          <w:rFonts w:ascii="微软雅黑" w:hAnsi="微软雅黑" w:eastAsia="微软雅黑" w:cs="Calibri"/>
          <w:color w:val="A6A6A6" w:themeColor="background1" w:themeShade="A6"/>
          <w:sz w:val="21"/>
          <w:szCs w:val="21"/>
        </w:rPr>
        <w:t>3</w:t>
      </w:r>
      <w:r>
        <w:rPr>
          <w:rFonts w:hint="eastAsia" w:ascii="微软雅黑" w:hAnsi="微软雅黑" w:eastAsia="微软雅黑" w:cs="Calibri"/>
          <w:color w:val="A6A6A6" w:themeColor="background1" w:themeShade="A6"/>
          <w:sz w:val="21"/>
          <w:szCs w:val="21"/>
        </w:rPr>
        <w:t>-</w:t>
      </w:r>
      <w:r>
        <w:rPr>
          <w:rFonts w:ascii="微软雅黑" w:hAnsi="微软雅黑" w:eastAsia="微软雅黑"/>
          <w:color w:val="999999"/>
          <w:sz w:val="21"/>
          <w:szCs w:val="21"/>
          <w:shd w:val="clear" w:color="auto" w:fill="FFFFFF"/>
        </w:rPr>
        <w:t>02</w:t>
      </w:r>
      <w:r>
        <w:rPr>
          <w:rFonts w:hint="eastAsia" w:ascii="微软雅黑" w:hAnsi="微软雅黑" w:eastAsia="微软雅黑"/>
          <w:color w:val="999999"/>
          <w:sz w:val="21"/>
          <w:szCs w:val="21"/>
          <w:shd w:val="clear" w:color="auto" w:fill="FFFFFF"/>
        </w:rPr>
        <w:t>-</w:t>
      </w:r>
      <w:r>
        <w:rPr>
          <w:rFonts w:ascii="微软雅黑" w:hAnsi="微软雅黑" w:eastAsia="微软雅黑"/>
          <w:color w:val="999999"/>
          <w:sz w:val="21"/>
          <w:szCs w:val="21"/>
          <w:shd w:val="clear" w:color="auto" w:fill="FFFFFF"/>
        </w:rPr>
        <w:t>13</w:t>
      </w:r>
      <w:r>
        <w:rPr>
          <w:rFonts w:hint="eastAsia" w:ascii="微软雅黑" w:hAnsi="微软雅黑" w:eastAsia="微软雅黑" w:cs="Calibri"/>
          <w:color w:val="A6A6A6" w:themeColor="background1" w:themeShade="A6"/>
          <w:sz w:val="21"/>
          <w:szCs w:val="21"/>
        </w:rPr>
        <w:t>）</w:t>
      </w:r>
    </w:p>
    <w:p>
      <w:pPr>
        <w:ind w:firstLine="562" w:firstLineChars="200"/>
        <w:rPr>
          <w:rFonts w:ascii="仿宋" w:hAnsi="仿宋" w:eastAsia="仿宋" w:cs="仿宋"/>
          <w:b/>
          <w:bCs/>
          <w:color w:val="333333"/>
          <w:sz w:val="28"/>
          <w:szCs w:val="28"/>
          <w:shd w:val="clear" w:color="auto" w:fill="FFFFFF"/>
        </w:rPr>
      </w:pPr>
      <w:r>
        <w:rPr>
          <w:rFonts w:hint="eastAsia" w:ascii="仿宋" w:hAnsi="仿宋" w:eastAsia="仿宋" w:cs="仿宋"/>
          <w:b/>
          <w:bCs/>
          <w:color w:val="333333"/>
          <w:sz w:val="28"/>
          <w:szCs w:val="28"/>
          <w:shd w:val="clear" w:color="auto" w:fill="FFFFFF"/>
        </w:rPr>
        <w:t>2.关注疫后医疗消费和器械耗材需求复苏——医药生物</w:t>
      </w:r>
    </w:p>
    <w:p>
      <w:pPr>
        <w:ind w:firstLine="560" w:firstLineChars="200"/>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本周医药表现弱于大盘，部分业绩超预期个股表现较好。本周申万医药生物同比下跌0.53%，表现弱于大盘。其中，医疗器械子行业上涨0.69%；医药商业子行业下跌0.23%，化学制药子行业下跌0.24%，中药子行业下跌0.51%，生物制品子行业下跌0.82%；医疗服务子行业下跌2.35%。部分年报业绩较好、一季度业绩具备复苏逻辑的医疗器械企业股价表现相对较好。</w:t>
      </w:r>
    </w:p>
    <w:p>
      <w:pPr>
        <w:ind w:firstLine="560" w:firstLineChars="200"/>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下周展望：关注疫后医疗消费和器械耗材需求复苏。在疫情管制放松以及国内1月份新增2款新冠药后，医疗消费复苏预期加强，建议关注眼科子行业，推荐爱尔眼科、华夏眼科等；诊疗活动复苏后医疗器械和耗材的销售有望替代此前新冠检测贡献的增量，推荐迈瑞医疗、安图生物、新产业、亚辉龙等；创新药赛道我们继续推荐拥有多款创新药产品布局且有出海预期的恒瑞医药，以及在新结构类型产品如CAR-T上拥有全球领先技术与临床进度、有望兑现出海逻辑的药企科济药业。</w:t>
      </w:r>
    </w:p>
    <w:p>
      <w:pPr>
        <w:ind w:firstLine="560" w:firstLineChars="200"/>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本周专题：细胞基因治疗有望成为创新药突破点。细胞基因治疗（CGT）代表了下一代革命性疗法。2022年全球细胞治疗产品放量提速（+58.0%），吉利德的Yescarta销售11.6亿美元，率先踏入重磅炸弹药物行列。传奇生物的国产创新药Carvykti开始在美国市场放量，并收获进入2-4线MM治疗市场的积极临床结果。基因疗法已呈现多点开花态势，有数款产品在欧美即将获批或商业化，国内的基因疗法则有望在2024-2025年获批上市。</w:t>
      </w:r>
    </w:p>
    <w:p>
      <w:pPr>
        <w:pStyle w:val="7"/>
        <w:spacing w:before="156" w:beforeLines="50" w:beforeAutospacing="0" w:after="156" w:afterLines="50" w:afterAutospacing="0" w:line="360" w:lineRule="auto"/>
        <w:ind w:firstLine="561"/>
        <w:jc w:val="right"/>
        <w:rPr>
          <w:rFonts w:ascii="仿宋" w:hAnsi="仿宋" w:eastAsia="仿宋" w:cs="仿宋"/>
          <w:b/>
          <w:sz w:val="28"/>
          <w:szCs w:val="28"/>
        </w:rPr>
      </w:pPr>
      <w:r>
        <w:rPr>
          <w:rFonts w:hint="eastAsia" w:ascii="微软雅黑" w:hAnsi="微软雅黑" w:eastAsia="微软雅黑" w:cs="Calibri"/>
          <w:color w:val="A6A6A6" w:themeColor="background1" w:themeShade="A6"/>
          <w:sz w:val="21"/>
          <w:szCs w:val="21"/>
        </w:rPr>
        <w:t>（内容来源：国联证券股份有限公司202</w:t>
      </w:r>
      <w:r>
        <w:rPr>
          <w:rFonts w:ascii="微软雅黑" w:hAnsi="微软雅黑" w:eastAsia="微软雅黑" w:cs="Calibri"/>
          <w:color w:val="A6A6A6" w:themeColor="background1" w:themeShade="A6"/>
          <w:sz w:val="21"/>
          <w:szCs w:val="21"/>
        </w:rPr>
        <w:t>3</w:t>
      </w:r>
      <w:r>
        <w:rPr>
          <w:rFonts w:hint="eastAsia" w:ascii="微软雅黑" w:hAnsi="微软雅黑" w:eastAsia="微软雅黑" w:cs="Calibri"/>
          <w:color w:val="A6A6A6" w:themeColor="background1" w:themeShade="A6"/>
          <w:sz w:val="21"/>
          <w:szCs w:val="21"/>
        </w:rPr>
        <w:t>-</w:t>
      </w:r>
      <w:r>
        <w:rPr>
          <w:rFonts w:ascii="微软雅黑" w:hAnsi="微软雅黑" w:eastAsia="微软雅黑" w:cs="Calibri"/>
          <w:color w:val="A6A6A6" w:themeColor="background1" w:themeShade="A6"/>
          <w:sz w:val="21"/>
          <w:szCs w:val="21"/>
        </w:rPr>
        <w:t>02</w:t>
      </w:r>
      <w:r>
        <w:rPr>
          <w:rFonts w:hint="eastAsia" w:ascii="微软雅黑" w:hAnsi="微软雅黑" w:eastAsia="微软雅黑" w:cs="Calibri"/>
          <w:color w:val="A6A6A6" w:themeColor="background1" w:themeShade="A6"/>
          <w:sz w:val="21"/>
          <w:szCs w:val="21"/>
        </w:rPr>
        <w:t>-</w:t>
      </w:r>
      <w:r>
        <w:rPr>
          <w:rFonts w:ascii="微软雅黑" w:hAnsi="微软雅黑" w:eastAsia="微软雅黑" w:cs="Calibri"/>
          <w:color w:val="A6A6A6" w:themeColor="background1" w:themeShade="A6"/>
          <w:sz w:val="21"/>
          <w:szCs w:val="21"/>
        </w:rPr>
        <w:t>13</w:t>
      </w:r>
      <w:r>
        <w:rPr>
          <w:rFonts w:hint="eastAsia" w:ascii="微软雅黑" w:hAnsi="微软雅黑" w:eastAsia="微软雅黑" w:cs="Calibri"/>
          <w:color w:val="A6A6A6" w:themeColor="background1" w:themeShade="A6"/>
          <w:sz w:val="21"/>
          <w:szCs w:val="21"/>
        </w:rPr>
        <w:t>）</w:t>
      </w:r>
    </w:p>
    <w:p>
      <w:pPr>
        <w:ind w:firstLine="562" w:firstLineChars="200"/>
        <w:rPr>
          <w:rFonts w:ascii="仿宋" w:hAnsi="仿宋" w:eastAsia="仿宋" w:cs="仿宋"/>
          <w:b/>
          <w:bCs/>
          <w:color w:val="333333"/>
          <w:sz w:val="28"/>
          <w:szCs w:val="28"/>
          <w:shd w:val="clear" w:color="auto" w:fill="FFFFFF"/>
        </w:rPr>
      </w:pPr>
      <w:r>
        <w:rPr>
          <w:rFonts w:hint="eastAsia" w:ascii="仿宋" w:hAnsi="仿宋" w:eastAsia="仿宋" w:cs="仿宋"/>
          <w:b/>
          <w:bCs/>
          <w:color w:val="333333"/>
          <w:sz w:val="28"/>
          <w:szCs w:val="28"/>
          <w:shd w:val="clear" w:color="auto" w:fill="FFFFFF"/>
        </w:rPr>
        <w:t>3.欧盟2035年禁售燃油车议案通过，出口新篇有望开启——汽车</w:t>
      </w:r>
    </w:p>
    <w:p>
      <w:pPr>
        <w:ind w:firstLine="560" w:firstLineChars="200"/>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本周汽车板块跑输大盘0.3个百分点：本周A股中信汽车一级行业（-2.0%）跑输沪深300（-1.7%），在31个中信一级行业中排名第21位。二级行业细分板块中，商用车+3.4%、摩托车及其他+1.5%、汽车销售及服务-1.5%、乘用车-2.9%、汽车零部件-2.9%。</w:t>
      </w:r>
    </w:p>
    <w:p>
      <w:pPr>
        <w:ind w:firstLine="560" w:firstLineChars="200"/>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2月前两周数据同比增长：1）乘联会：国内乘用车日均零售销量同比+52%/环比-18%至4.0万辆，日均批发销量同比+46%/环比-9%至4.1万辆。2）交强险：2/6-2/12上险总量28.3万辆，日均相比1月第二周下降35.4%，相比2月第一周上升5.7%至4.0万辆。我们认为，1）鉴于2022年同期春节低基数影响，周度数据同步显著增长。其中，受新能源汽车降价预期下的观望心理以及原油价格波动因素影响，新能源汽车渗透率增速放缓；2）看好经济修复+地方消费补贴/中央政策引导下的新能源销量边际改善前景。</w:t>
      </w:r>
    </w:p>
    <w:p>
      <w:pPr>
        <w:ind w:firstLine="560" w:firstLineChars="200"/>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欧盟2035年禁售燃油车议案通过：当地时间2/14欧盟议会通过了2035年停售燃料发动机车辆议案，其中包括有内燃机的插电式混动车型。我们认为，1）欧盟2022年纯电车型渗透率约12%，预计2035年渗透率将至100%，对应销量GAGR约为18.3%（以2035年乘用车销量1</w:t>
      </w:r>
      <w:r>
        <w:rPr>
          <w:rFonts w:ascii="仿宋" w:hAnsi="仿宋" w:eastAsia="仿宋" w:cs="仿宋"/>
          <w:color w:val="333333"/>
          <w:kern w:val="0"/>
          <w:sz w:val="28"/>
          <w:szCs w:val="28"/>
          <w:shd w:val="clear" w:color="auto" w:fill="FFFFFF"/>
        </w:rPr>
        <w:t>,</w:t>
      </w:r>
      <w:r>
        <w:rPr>
          <w:rFonts w:hint="eastAsia" w:ascii="仿宋" w:hAnsi="仿宋" w:eastAsia="仿宋" w:cs="仿宋"/>
          <w:color w:val="333333"/>
          <w:kern w:val="0"/>
          <w:sz w:val="28"/>
          <w:szCs w:val="28"/>
          <w:shd w:val="clear" w:color="auto" w:fill="FFFFFF"/>
        </w:rPr>
        <w:t>000万辆测算）。欧洲新能源补贴退坡后该议案将成为销量爬坡的关键催化。2）欧盟已有挪威、荷兰、德国等国家明确燃油车禁售时间，多家车企也已公布全面电动化时点，法案出台或将带动全球新能源产业加速发展。3）国内智能电动化转型具备领先优势，预计新能源乘用车出口为自主品牌带来确定性增量，看好已进行海外市场车型、渠道、以及相关产能布局的产业链标的。</w:t>
      </w:r>
    </w:p>
    <w:p>
      <w:pPr>
        <w:ind w:firstLine="560" w:firstLineChars="200"/>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市场基于销量最悲观预期已过，年降风险或逐步发酵：我们判断，1）各地因地制宜扶持新能源汽车消费、叠加近期车企陆续降价，带动市场对2023年新能源车销量表现的信心有所回暖，符合我们此前对市场高估销量承压风险但低估业绩下修风险的判断。2）维持2023年国内新能源乘用车（零售+出口，批发口径）销量预测900万辆，预计最大变量仍在于车企定价策略。3）鉴于碳酸锂价格回落、产业链年降、以及规模效应或将部分对冲主机厂降价导致的业绩下修风险，预计整车盈利表现优于零部件。4）看好2023年具有较强插混与出口布局+产业链成本控制能力较强+销量与业绩兑现能力较强的头部自主新能源车企、用户画像差异化定位竞争的新势力车企、以及市占率抬升/新定点释放+年降消化能力强+业务多元化的零部件公司。</w:t>
      </w:r>
    </w:p>
    <w:p>
      <w:pPr>
        <w:spacing w:before="156" w:beforeLines="50" w:after="156" w:afterLines="50" w:line="360" w:lineRule="auto"/>
        <w:jc w:val="right"/>
        <w:rPr>
          <w:rFonts w:ascii="微软雅黑" w:hAnsi="微软雅黑" w:eastAsia="微软雅黑" w:cs="Calibri"/>
          <w:color w:val="A6A6A6" w:themeColor="background1" w:themeShade="A6"/>
          <w:szCs w:val="21"/>
        </w:rPr>
      </w:pPr>
      <w:r>
        <w:rPr>
          <w:rFonts w:hint="eastAsia" w:ascii="微软雅黑" w:hAnsi="微软雅黑" w:eastAsia="微软雅黑" w:cs="Calibri"/>
          <w:color w:val="A6A6A6" w:themeColor="background1" w:themeShade="A6"/>
          <w:szCs w:val="21"/>
        </w:rPr>
        <w:t>（内容来源：东莞证券股份有限公司202</w:t>
      </w:r>
      <w:r>
        <w:rPr>
          <w:rFonts w:ascii="微软雅黑" w:hAnsi="微软雅黑" w:eastAsia="微软雅黑" w:cs="Calibri"/>
          <w:color w:val="A6A6A6" w:themeColor="background1" w:themeShade="A6"/>
          <w:szCs w:val="21"/>
        </w:rPr>
        <w:t>3</w:t>
      </w:r>
      <w:r>
        <w:rPr>
          <w:rFonts w:hint="eastAsia" w:ascii="微软雅黑" w:hAnsi="微软雅黑" w:eastAsia="微软雅黑" w:cs="Calibri"/>
          <w:color w:val="A6A6A6" w:themeColor="background1" w:themeShade="A6"/>
          <w:szCs w:val="21"/>
        </w:rPr>
        <w:t>-</w:t>
      </w:r>
      <w:r>
        <w:rPr>
          <w:rFonts w:ascii="微软雅黑" w:hAnsi="微软雅黑" w:eastAsia="微软雅黑" w:cs="Calibri"/>
          <w:color w:val="A6A6A6" w:themeColor="background1" w:themeShade="A6"/>
          <w:szCs w:val="21"/>
        </w:rPr>
        <w:t>02</w:t>
      </w:r>
      <w:r>
        <w:rPr>
          <w:rFonts w:hint="eastAsia" w:ascii="微软雅黑" w:hAnsi="微软雅黑" w:eastAsia="微软雅黑" w:cs="Calibri"/>
          <w:color w:val="A6A6A6" w:themeColor="background1" w:themeShade="A6"/>
          <w:szCs w:val="21"/>
        </w:rPr>
        <w:t>-</w:t>
      </w:r>
      <w:r>
        <w:rPr>
          <w:rFonts w:ascii="微软雅黑" w:hAnsi="微软雅黑" w:eastAsia="微软雅黑" w:cs="Calibri"/>
          <w:color w:val="A6A6A6" w:themeColor="background1" w:themeShade="A6"/>
          <w:szCs w:val="21"/>
        </w:rPr>
        <w:t>20</w:t>
      </w:r>
      <w:r>
        <w:rPr>
          <w:rFonts w:hint="eastAsia" w:ascii="微软雅黑" w:hAnsi="微软雅黑" w:eastAsia="微软雅黑" w:cs="Calibri"/>
          <w:color w:val="A6A6A6" w:themeColor="background1" w:themeShade="A6"/>
          <w:szCs w:val="21"/>
        </w:rPr>
        <w:t>）</w:t>
      </w:r>
    </w:p>
    <w:p>
      <w:pPr>
        <w:spacing w:before="156" w:beforeLines="50" w:after="156" w:afterLines="50" w:line="360" w:lineRule="auto"/>
        <w:rPr>
          <w:rFonts w:ascii="仿宋" w:hAnsi="仿宋" w:eastAsia="仿宋"/>
          <w:b/>
          <w:sz w:val="28"/>
        </w:rPr>
      </w:pPr>
      <w:r>
        <w:rPr>
          <w:rFonts w:ascii="仿宋" w:hAnsi="仿宋" w:eastAsia="仿宋"/>
          <w:b/>
          <w:sz w:val="28"/>
        </w:rPr>
        <w:t>三</w:t>
      </w:r>
      <w:r>
        <w:rPr>
          <w:rFonts w:hint="eastAsia" w:ascii="仿宋" w:hAnsi="仿宋" w:eastAsia="仿宋"/>
          <w:b/>
          <w:sz w:val="28"/>
        </w:rPr>
        <w:t>、河南辖区上市公司基本情况</w:t>
      </w:r>
    </w:p>
    <w:p>
      <w:pPr>
        <w:spacing w:line="360" w:lineRule="auto"/>
        <w:ind w:firstLine="560" w:firstLineChars="200"/>
        <w:rPr>
          <w:rFonts w:ascii="仿宋" w:hAnsi="仿宋" w:eastAsia="仿宋"/>
          <w:sz w:val="28"/>
        </w:rPr>
      </w:pPr>
      <w:r>
        <w:rPr>
          <w:rFonts w:hint="eastAsia" w:ascii="仿宋" w:hAnsi="仿宋" w:eastAsia="仿宋"/>
          <w:sz w:val="28"/>
        </w:rPr>
        <w:t>截至2023年2月28日,河南辖区共有</w:t>
      </w:r>
      <w:r>
        <w:rPr>
          <w:rFonts w:ascii="仿宋" w:hAnsi="仿宋" w:eastAsia="仿宋"/>
          <w:sz w:val="28"/>
        </w:rPr>
        <w:t>A股上市公司108</w:t>
      </w:r>
      <w:r>
        <w:rPr>
          <w:rFonts w:hint="eastAsia" w:ascii="仿宋" w:hAnsi="仿宋" w:eastAsia="仿宋"/>
          <w:sz w:val="28"/>
        </w:rPr>
        <w:t>家。位居全国第13位（按照协会口径统计）。其中上交所主板30家，科创板5家，深交所主板36家、创业板27家，北交所10家。</w:t>
      </w:r>
    </w:p>
    <w:p>
      <w:pPr>
        <w:spacing w:line="360" w:lineRule="auto"/>
        <w:ind w:firstLine="560" w:firstLineChars="200"/>
        <w:rPr>
          <w:rFonts w:ascii="仿宋" w:hAnsi="仿宋" w:eastAsia="仿宋"/>
          <w:sz w:val="28"/>
        </w:rPr>
      </w:pPr>
      <w:r>
        <w:rPr>
          <w:rFonts w:hint="eastAsia" w:ascii="仿宋" w:hAnsi="仿宋" w:eastAsia="仿宋"/>
          <w:sz w:val="28"/>
        </w:rPr>
        <w:t>截至2023年2月28日,河南辖区A股上市公司的总市值为15,309.50亿元，占</w:t>
      </w:r>
      <w:r>
        <w:rPr>
          <w:rFonts w:ascii="仿宋" w:hAnsi="仿宋" w:eastAsia="仿宋"/>
          <w:sz w:val="28"/>
        </w:rPr>
        <w:t>A股上市公司总市值的1.62%</w:t>
      </w:r>
      <w:r>
        <w:rPr>
          <w:rFonts w:hint="eastAsia" w:ascii="仿宋" w:hAnsi="仿宋" w:eastAsia="仿宋"/>
          <w:sz w:val="28"/>
        </w:rPr>
        <w:t>。2023年河南辖区上市公司再融资（含增发、配股）募集资金总额为11.68亿元。</w:t>
      </w:r>
    </w:p>
    <w:p>
      <w:pPr>
        <w:spacing w:before="156" w:beforeLines="50" w:after="156" w:afterLines="50" w:line="360" w:lineRule="auto"/>
        <w:jc w:val="center"/>
        <w:rPr>
          <w:rFonts w:ascii="仿宋" w:hAnsi="仿宋" w:eastAsia="仿宋"/>
          <w:b/>
          <w:sz w:val="24"/>
        </w:rPr>
      </w:pPr>
      <w:r>
        <w:rPr>
          <w:rFonts w:ascii="仿宋" w:hAnsi="仿宋" w:eastAsia="仿宋"/>
          <w:b/>
          <w:sz w:val="24"/>
        </w:rPr>
        <w:br w:type="page"/>
      </w:r>
    </w:p>
    <w:p>
      <w:pPr>
        <w:spacing w:before="156" w:beforeLines="50" w:after="156" w:afterLines="50" w:line="360" w:lineRule="auto"/>
        <w:jc w:val="center"/>
        <w:rPr>
          <w:rFonts w:ascii="仿宋" w:hAnsi="仿宋" w:eastAsia="仿宋"/>
          <w:b/>
          <w:sz w:val="24"/>
        </w:rPr>
      </w:pPr>
      <w:r>
        <w:rPr>
          <w:rFonts w:hint="eastAsia" w:ascii="仿宋" w:hAnsi="仿宋" w:eastAsia="仿宋"/>
          <w:b/>
          <w:sz w:val="24"/>
        </w:rPr>
        <w:t>图1　上市公司市值排名行业分布图</w:t>
      </w:r>
    </w:p>
    <w:p>
      <w:pPr>
        <w:spacing w:before="156" w:beforeLines="50" w:after="156" w:afterLines="50" w:line="360" w:lineRule="auto"/>
        <w:jc w:val="center"/>
        <w:rPr>
          <w:rFonts w:ascii="仿宋" w:hAnsi="仿宋" w:eastAsia="仿宋"/>
          <w:b/>
          <w:sz w:val="24"/>
        </w:rPr>
      </w:pPr>
      <w:r>
        <w:rPr>
          <w:rFonts w:ascii="仿宋" w:hAnsi="仿宋" w:eastAsia="仿宋"/>
          <w:b/>
          <w:sz w:val="24"/>
        </w:rPr>
        <w:drawing>
          <wp:inline distT="0" distB="0" distL="0" distR="0">
            <wp:extent cx="4908550" cy="2438400"/>
            <wp:effectExtent l="0" t="0" r="635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spacing w:before="156" w:beforeLines="50" w:after="156" w:afterLines="50" w:line="360" w:lineRule="auto"/>
        <w:jc w:val="center"/>
        <w:rPr>
          <w:rFonts w:ascii="仿宋" w:hAnsi="仿宋" w:eastAsia="仿宋"/>
          <w:b/>
          <w:sz w:val="24"/>
        </w:rPr>
      </w:pPr>
      <w:r>
        <w:rPr>
          <w:rFonts w:hint="eastAsia" w:ascii="仿宋" w:hAnsi="仿宋" w:eastAsia="仿宋"/>
          <w:b/>
          <w:sz w:val="24"/>
        </w:rPr>
        <w:t>图2市值排名前十的</w:t>
      </w:r>
      <w:r>
        <w:rPr>
          <w:rFonts w:ascii="仿宋" w:hAnsi="仿宋" w:eastAsia="仿宋"/>
          <w:b/>
          <w:sz w:val="24"/>
        </w:rPr>
        <w:t>上市公司</w:t>
      </w:r>
    </w:p>
    <w:p>
      <w:pPr>
        <w:spacing w:before="156" w:beforeLines="50" w:after="156" w:afterLines="50" w:line="360" w:lineRule="auto"/>
        <w:jc w:val="center"/>
        <w:rPr>
          <w:rFonts w:ascii="仿宋" w:hAnsi="仿宋" w:eastAsia="仿宋"/>
          <w:b/>
          <w:sz w:val="24"/>
        </w:rPr>
      </w:pPr>
      <w:r>
        <w:rPr>
          <w:rFonts w:ascii="仿宋" w:hAnsi="仿宋" w:eastAsia="仿宋"/>
          <w:b/>
          <w:sz w:val="24"/>
        </w:rPr>
        <w:drawing>
          <wp:inline distT="0" distB="0" distL="0" distR="0">
            <wp:extent cx="4933950" cy="2355850"/>
            <wp:effectExtent l="0" t="0" r="0" b="635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before="156" w:beforeLines="50" w:after="156" w:afterLines="50" w:line="360" w:lineRule="auto"/>
        <w:jc w:val="center"/>
        <w:rPr>
          <w:rFonts w:ascii="仿宋" w:hAnsi="仿宋" w:eastAsia="仿宋"/>
          <w:b/>
          <w:sz w:val="24"/>
        </w:rPr>
      </w:pPr>
      <w:r>
        <w:rPr>
          <w:rFonts w:ascii="仿宋" w:hAnsi="仿宋" w:eastAsia="仿宋"/>
          <w:b/>
          <w:sz w:val="24"/>
        </w:rPr>
        <w:t>图3月成交额排名前十的上市公司</w:t>
      </w:r>
    </w:p>
    <w:p>
      <w:pPr>
        <w:spacing w:before="156" w:beforeLines="50" w:after="156" w:afterLines="50" w:line="360" w:lineRule="auto"/>
        <w:jc w:val="center"/>
        <w:rPr>
          <w:rFonts w:ascii="仿宋" w:hAnsi="仿宋" w:eastAsia="仿宋"/>
          <w:b/>
          <w:sz w:val="24"/>
        </w:rPr>
      </w:pPr>
      <w:r>
        <w:rPr>
          <w:rFonts w:ascii="仿宋" w:hAnsi="仿宋" w:eastAsia="仿宋"/>
          <w:b/>
          <w:sz w:val="24"/>
        </w:rPr>
        <w:drawing>
          <wp:inline distT="0" distB="0" distL="0" distR="0">
            <wp:extent cx="4972050" cy="2368550"/>
            <wp:effectExtent l="0" t="0" r="0" b="1270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before="156" w:beforeLines="50" w:after="156" w:afterLines="50" w:line="360" w:lineRule="auto"/>
        <w:rPr>
          <w:rFonts w:ascii="仿宋" w:hAnsi="仿宋" w:eastAsia="仿宋"/>
          <w:b/>
          <w:sz w:val="28"/>
        </w:rPr>
      </w:pPr>
      <w:r>
        <w:rPr>
          <w:rFonts w:hint="eastAsia" w:ascii="仿宋" w:hAnsi="仿宋" w:eastAsia="仿宋"/>
          <w:b/>
          <w:sz w:val="28"/>
        </w:rPr>
        <w:t>四、河南辖区上市公司2月市场表现分析</w:t>
      </w:r>
    </w:p>
    <w:p>
      <w:pPr>
        <w:spacing w:after="156" w:afterLines="50"/>
        <w:ind w:firstLine="560" w:firstLineChars="200"/>
        <w:rPr>
          <w:rFonts w:ascii="仿宋" w:hAnsi="仿宋" w:eastAsia="仿宋"/>
          <w:sz w:val="28"/>
        </w:rPr>
      </w:pPr>
      <w:r>
        <w:rPr>
          <w:rFonts w:hint="eastAsia" w:ascii="仿宋" w:hAnsi="仿宋" w:eastAsia="仿宋"/>
          <w:sz w:val="28"/>
        </w:rPr>
        <w:t>二月首个交易日个股涨多跌少，创业板指领涨</w:t>
      </w:r>
      <w:r>
        <w:rPr>
          <w:rFonts w:ascii="仿宋" w:hAnsi="仿宋" w:eastAsia="仿宋"/>
          <w:sz w:val="28"/>
        </w:rPr>
        <w:t>1.27%</w:t>
      </w:r>
      <w:r>
        <w:rPr>
          <w:rFonts w:hint="eastAsia" w:ascii="仿宋" w:hAnsi="仿宋" w:eastAsia="仿宋"/>
          <w:sz w:val="28"/>
        </w:rPr>
        <w:t>；短线题材集体活跃，两市成交额再破万亿。2月7日，市场进入震荡分化，沪指小幅上涨，创业板指小幅下跌；沪指涨0.29%，深成指涨0.12%，创业板指跌0.24%。2月15日，大盘延续震荡调整走势，三大指数均小幅下跌，创业板指领跌；板块方面ChatGPT概念再爆发，多股创历史新高。2月23日，三大指数涨跌不一，人工智能板块个股出现走低调整；光伏、汽车产业链等板块迎来反弹，沪指跌0.11%，深成指跌0.13%，创业板指涨0.23%。受政策新闻影响，2月28日，沪深集体高开，两市超3</w:t>
      </w:r>
      <w:r>
        <w:rPr>
          <w:rFonts w:ascii="仿宋" w:hAnsi="仿宋" w:eastAsia="仿宋"/>
          <w:sz w:val="28"/>
        </w:rPr>
        <w:t>,</w:t>
      </w:r>
      <w:r>
        <w:rPr>
          <w:rFonts w:hint="eastAsia" w:ascii="仿宋" w:hAnsi="仿宋" w:eastAsia="仿宋"/>
          <w:sz w:val="28"/>
        </w:rPr>
        <w:t>700只个股上涨。</w:t>
      </w:r>
      <w:r>
        <w:rPr>
          <w:rFonts w:ascii="仿宋" w:hAnsi="仿宋" w:eastAsia="仿宋"/>
          <w:sz w:val="28"/>
        </w:rPr>
        <w:t>及至月末，上证综指上涨0.73%</w:t>
      </w:r>
      <w:r>
        <w:rPr>
          <w:rFonts w:hint="eastAsia" w:ascii="仿宋" w:hAnsi="仿宋" w:eastAsia="仿宋"/>
          <w:sz w:val="28"/>
        </w:rPr>
        <w:t>，报收</w:t>
      </w:r>
      <w:r>
        <w:rPr>
          <w:rFonts w:ascii="仿宋" w:hAnsi="仿宋" w:eastAsia="仿宋"/>
          <w:sz w:val="28"/>
        </w:rPr>
        <w:t>3,279.61</w:t>
      </w:r>
      <w:r>
        <w:rPr>
          <w:rFonts w:hint="eastAsia" w:ascii="仿宋" w:hAnsi="仿宋" w:eastAsia="仿宋"/>
          <w:sz w:val="28"/>
        </w:rPr>
        <w:t>点；深证成指</w:t>
      </w:r>
      <w:r>
        <w:rPr>
          <w:rFonts w:ascii="仿宋" w:hAnsi="仿宋" w:eastAsia="仿宋"/>
          <w:sz w:val="28"/>
        </w:rPr>
        <w:t>下跌1.81%</w:t>
      </w:r>
      <w:r>
        <w:rPr>
          <w:rFonts w:hint="eastAsia" w:ascii="仿宋" w:hAnsi="仿宋" w:eastAsia="仿宋"/>
          <w:sz w:val="28"/>
        </w:rPr>
        <w:t>，报收</w:t>
      </w:r>
      <w:r>
        <w:rPr>
          <w:rFonts w:ascii="仿宋" w:hAnsi="仿宋" w:eastAsia="仿宋"/>
          <w:sz w:val="28"/>
        </w:rPr>
        <w:t>11,783.80</w:t>
      </w:r>
      <w:r>
        <w:rPr>
          <w:rFonts w:hint="eastAsia" w:ascii="仿宋" w:hAnsi="仿宋" w:eastAsia="仿宋"/>
          <w:sz w:val="28"/>
        </w:rPr>
        <w:t>点；创业板指下跌5.88%，报收</w:t>
      </w:r>
      <w:r>
        <w:rPr>
          <w:rFonts w:ascii="仿宋" w:hAnsi="仿宋" w:eastAsia="仿宋"/>
          <w:sz w:val="28"/>
        </w:rPr>
        <w:t>2,429.03</w:t>
      </w:r>
      <w:r>
        <w:rPr>
          <w:rFonts w:hint="eastAsia" w:ascii="仿宋" w:hAnsi="仿宋" w:eastAsia="仿宋"/>
          <w:sz w:val="28"/>
        </w:rPr>
        <w:t>点。</w:t>
      </w:r>
    </w:p>
    <w:p>
      <w:pPr>
        <w:spacing w:after="156" w:afterLines="50"/>
        <w:ind w:firstLine="560" w:firstLineChars="200"/>
        <w:rPr>
          <w:rFonts w:ascii="仿宋" w:hAnsi="仿宋" w:eastAsia="仿宋"/>
          <w:sz w:val="28"/>
        </w:rPr>
      </w:pPr>
      <w:r>
        <w:rPr>
          <w:rFonts w:hint="eastAsia" w:ascii="仿宋" w:hAnsi="仿宋" w:eastAsia="仿宋"/>
          <w:sz w:val="28"/>
        </w:rPr>
        <w:t>2023年2月，河南</w:t>
      </w:r>
      <w:r>
        <w:rPr>
          <w:rFonts w:ascii="仿宋" w:hAnsi="仿宋" w:eastAsia="仿宋"/>
          <w:sz w:val="28"/>
        </w:rPr>
        <w:t>辖区</w:t>
      </w:r>
      <w:r>
        <w:rPr>
          <w:rFonts w:hint="eastAsia" w:ascii="仿宋" w:hAnsi="仿宋" w:eastAsia="仿宋"/>
          <w:sz w:val="28"/>
        </w:rPr>
        <w:t>涨幅排名前10位的股票中，工业占据3席，日常消费和医疗保健各占据2席，材料、信息技术和可选消费各占据1席，涨幅最大的是金冠电气，</w:t>
      </w:r>
      <w:r>
        <w:rPr>
          <w:rFonts w:ascii="仿宋" w:hAnsi="仿宋" w:eastAsia="仿宋"/>
          <w:sz w:val="28"/>
        </w:rPr>
        <w:t>上涨</w:t>
      </w:r>
      <w:r>
        <w:rPr>
          <w:rFonts w:hint="eastAsia" w:ascii="仿宋" w:hAnsi="仿宋" w:eastAsia="仿宋"/>
          <w:sz w:val="28"/>
        </w:rPr>
        <w:t>55.72%；其次是宇通重工，</w:t>
      </w:r>
      <w:r>
        <w:rPr>
          <w:rFonts w:ascii="仿宋" w:hAnsi="仿宋" w:eastAsia="仿宋"/>
          <w:sz w:val="28"/>
        </w:rPr>
        <w:t>上涨</w:t>
      </w:r>
      <w:r>
        <w:rPr>
          <w:rFonts w:hint="eastAsia" w:ascii="仿宋" w:hAnsi="仿宋" w:eastAsia="仿宋"/>
          <w:sz w:val="28"/>
        </w:rPr>
        <w:t>39.39%。</w:t>
      </w:r>
    </w:p>
    <w:p>
      <w:pPr>
        <w:spacing w:after="156" w:afterLines="50"/>
        <w:jc w:val="center"/>
        <w:rPr>
          <w:rFonts w:ascii="仿宋" w:hAnsi="仿宋" w:eastAsia="仿宋"/>
          <w:b/>
          <w:sz w:val="24"/>
        </w:rPr>
      </w:pPr>
      <w:r>
        <w:rPr>
          <w:rFonts w:hint="eastAsia" w:ascii="仿宋" w:hAnsi="仿宋" w:eastAsia="仿宋"/>
          <w:b/>
          <w:sz w:val="24"/>
        </w:rPr>
        <w:t>表1月涨幅前10的股票</w:t>
      </w:r>
    </w:p>
    <w:tbl>
      <w:tblPr>
        <w:tblStyle w:val="9"/>
        <w:tblW w:w="8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76"/>
        <w:gridCol w:w="1133"/>
        <w:gridCol w:w="1135"/>
        <w:gridCol w:w="1714"/>
        <w:gridCol w:w="1338"/>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b/>
                <w:color w:val="000000"/>
                <w:szCs w:val="21"/>
              </w:rPr>
            </w:pPr>
            <w:r>
              <w:rPr>
                <w:rFonts w:hint="eastAsia" w:ascii="仿宋" w:hAnsi="仿宋" w:eastAsia="仿宋"/>
                <w:b/>
                <w:color w:val="000000"/>
                <w:szCs w:val="21"/>
              </w:rPr>
              <w:t>序号</w:t>
            </w:r>
          </w:p>
        </w:tc>
        <w:tc>
          <w:tcPr>
            <w:tcW w:w="1276" w:type="dxa"/>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证券代码</w:t>
            </w:r>
          </w:p>
        </w:tc>
        <w:tc>
          <w:tcPr>
            <w:tcW w:w="1133" w:type="dxa"/>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证券简称</w:t>
            </w:r>
          </w:p>
        </w:tc>
        <w:tc>
          <w:tcPr>
            <w:tcW w:w="1135" w:type="dxa"/>
            <w:vAlign w:val="center"/>
          </w:tcPr>
          <w:p>
            <w:pPr>
              <w:widowControl/>
              <w:jc w:val="center"/>
              <w:rPr>
                <w:rFonts w:ascii="仿宋" w:hAnsi="仿宋" w:eastAsia="仿宋"/>
                <w:b/>
                <w:color w:val="000000"/>
                <w:szCs w:val="21"/>
              </w:rPr>
            </w:pPr>
            <w:r>
              <w:rPr>
                <w:rFonts w:hint="eastAsia" w:ascii="仿宋" w:hAnsi="仿宋" w:eastAsia="仿宋"/>
                <w:b/>
                <w:color w:val="000000"/>
                <w:szCs w:val="21"/>
              </w:rPr>
              <w:t>月涨幅</w:t>
            </w:r>
          </w:p>
          <w:p>
            <w:pPr>
              <w:widowControl/>
              <w:jc w:val="center"/>
              <w:rPr>
                <w:rFonts w:ascii="仿宋" w:hAnsi="仿宋" w:eastAsia="仿宋"/>
                <w:b/>
                <w:color w:val="000000"/>
                <w:szCs w:val="21"/>
              </w:rPr>
            </w:pPr>
            <w:r>
              <w:rPr>
                <w:rFonts w:hint="eastAsia" w:ascii="仿宋" w:hAnsi="仿宋" w:eastAsia="仿宋"/>
                <w:b/>
                <w:color w:val="000000"/>
                <w:szCs w:val="21"/>
              </w:rPr>
              <w:t>（</w:t>
            </w:r>
            <w:r>
              <w:rPr>
                <w:rFonts w:ascii="仿宋" w:hAnsi="仿宋" w:eastAsia="仿宋"/>
                <w:b/>
                <w:color w:val="000000"/>
                <w:szCs w:val="21"/>
              </w:rPr>
              <w:t>%</w:t>
            </w:r>
            <w:r>
              <w:rPr>
                <w:rFonts w:hint="eastAsia" w:ascii="仿宋" w:hAnsi="仿宋" w:eastAsia="仿宋"/>
                <w:b/>
                <w:color w:val="000000"/>
                <w:szCs w:val="21"/>
              </w:rPr>
              <w:t>）</w:t>
            </w:r>
          </w:p>
        </w:tc>
        <w:tc>
          <w:tcPr>
            <w:tcW w:w="1714" w:type="dxa"/>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收盘价</w:t>
            </w:r>
          </w:p>
          <w:p>
            <w:pPr>
              <w:widowControl/>
              <w:jc w:val="center"/>
              <w:rPr>
                <w:rFonts w:ascii="仿宋" w:hAnsi="仿宋" w:eastAsia="仿宋"/>
                <w:b/>
                <w:color w:val="000000"/>
                <w:szCs w:val="21"/>
              </w:rPr>
            </w:pPr>
            <w:r>
              <w:rPr>
                <w:rFonts w:ascii="仿宋" w:hAnsi="仿宋" w:eastAsia="仿宋"/>
                <w:b/>
                <w:color w:val="000000"/>
                <w:szCs w:val="21"/>
              </w:rPr>
              <w:t>（2023-02-28）</w:t>
            </w:r>
          </w:p>
        </w:tc>
        <w:tc>
          <w:tcPr>
            <w:tcW w:w="1338" w:type="dxa"/>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年涨跌幅（</w:t>
            </w:r>
            <w:r>
              <w:rPr>
                <w:rFonts w:ascii="仿宋" w:hAnsi="仿宋" w:eastAsia="仿宋"/>
                <w:b/>
                <w:color w:val="000000"/>
                <w:szCs w:val="21"/>
              </w:rPr>
              <w:t>%</w:t>
            </w:r>
            <w:r>
              <w:rPr>
                <w:rFonts w:hint="eastAsia" w:ascii="仿宋" w:hAnsi="仿宋" w:eastAsia="仿宋"/>
                <w:b/>
                <w:color w:val="000000"/>
                <w:szCs w:val="21"/>
              </w:rPr>
              <w:t>）</w:t>
            </w:r>
          </w:p>
        </w:tc>
        <w:tc>
          <w:tcPr>
            <w:tcW w:w="1095" w:type="dxa"/>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所属行业</w:t>
            </w:r>
          </w:p>
          <w:p>
            <w:pPr>
              <w:widowControl/>
              <w:jc w:val="center"/>
              <w:rPr>
                <w:rFonts w:ascii="仿宋" w:hAnsi="仿宋" w:eastAsia="仿宋"/>
                <w:b/>
                <w:color w:val="000000"/>
                <w:szCs w:val="21"/>
              </w:rPr>
            </w:pPr>
            <w:r>
              <w:rPr>
                <w:rFonts w:hint="eastAsia" w:ascii="仿宋" w:hAnsi="仿宋" w:eastAsia="仿宋"/>
                <w:b/>
                <w:color w:val="000000"/>
                <w:szCs w:val="21"/>
              </w:rPr>
              <w:t>（Wind）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1</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688517.SH</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金冠电气</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55.72</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21.38</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86.07</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2</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600817.SH</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宇通重工</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39.39</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13.34</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49.89</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3</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300908.SZ</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仲景食品</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21.35</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43.53</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13.51</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日常消费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4</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600066.SH</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宇通客车</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20.36</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9.99</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33.02</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可选消费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5</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002535.SZ</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ST林重</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16.04</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3.11</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25.91</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6</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688313.SH</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仕佳光子</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15.95</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11.63</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28.51</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7</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688357.SH</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建龙微纳</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15.85</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122.81</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10.74</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8</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600285.SH</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羚锐制药</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14.87</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15.99</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22.62</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医疗保健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9</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688626.SH</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翔宇医疗</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14.27</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39.48</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23.84</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医疗保健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5" w:type="dxa"/>
            <w:vAlign w:val="center"/>
          </w:tcPr>
          <w:p>
            <w:pPr>
              <w:widowControl/>
              <w:jc w:val="center"/>
              <w:rPr>
                <w:rFonts w:ascii="仿宋" w:hAnsi="仿宋" w:eastAsia="仿宋"/>
                <w:color w:val="000000"/>
                <w:szCs w:val="21"/>
              </w:rPr>
            </w:pPr>
            <w:r>
              <w:rPr>
                <w:rFonts w:hint="eastAsia" w:ascii="仿宋" w:hAnsi="仿宋" w:eastAsia="仿宋"/>
                <w:color w:val="000000"/>
                <w:szCs w:val="21"/>
              </w:rPr>
              <w:t>10</w:t>
            </w:r>
          </w:p>
        </w:tc>
        <w:tc>
          <w:tcPr>
            <w:tcW w:w="1276"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831087.BJ</w:t>
            </w:r>
          </w:p>
        </w:tc>
        <w:tc>
          <w:tcPr>
            <w:tcW w:w="1133"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秋乐种业</w:t>
            </w:r>
          </w:p>
        </w:tc>
        <w:tc>
          <w:tcPr>
            <w:tcW w:w="1135" w:type="dxa"/>
          </w:tcPr>
          <w:p>
            <w:pPr>
              <w:widowControl/>
              <w:jc w:val="center"/>
              <w:rPr>
                <w:rFonts w:ascii="仿宋" w:hAnsi="仿宋" w:eastAsia="仿宋"/>
                <w:color w:val="000000"/>
                <w:szCs w:val="21"/>
              </w:rPr>
            </w:pPr>
            <w:r>
              <w:rPr>
                <w:rFonts w:hint="eastAsia" w:ascii="仿宋" w:hAnsi="仿宋" w:eastAsia="仿宋"/>
                <w:color w:val="000000"/>
                <w:szCs w:val="21"/>
              </w:rPr>
              <w:t>13.22</w:t>
            </w:r>
          </w:p>
        </w:tc>
        <w:tc>
          <w:tcPr>
            <w:tcW w:w="1714"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6.85</w:t>
            </w:r>
          </w:p>
        </w:tc>
        <w:tc>
          <w:tcPr>
            <w:tcW w:w="1338" w:type="dxa"/>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22.10</w:t>
            </w:r>
          </w:p>
        </w:tc>
        <w:tc>
          <w:tcPr>
            <w:tcW w:w="1095" w:type="dxa"/>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日常消费</w:t>
            </w:r>
          </w:p>
        </w:tc>
      </w:tr>
    </w:tbl>
    <w:p>
      <w:pPr>
        <w:spacing w:before="156" w:beforeLines="50" w:after="156" w:afterLines="50"/>
        <w:ind w:firstLine="560" w:firstLineChars="200"/>
        <w:rPr>
          <w:rFonts w:ascii="仿宋" w:hAnsi="仿宋" w:eastAsia="仿宋"/>
          <w:sz w:val="28"/>
        </w:rPr>
      </w:pPr>
      <w:r>
        <w:rPr>
          <w:rFonts w:hint="eastAsia" w:ascii="仿宋" w:hAnsi="仿宋" w:eastAsia="仿宋"/>
          <w:sz w:val="28"/>
        </w:rPr>
        <w:t>跌幅前</w:t>
      </w:r>
      <w:r>
        <w:rPr>
          <w:rFonts w:ascii="仿宋" w:hAnsi="仿宋" w:eastAsia="仿宋"/>
          <w:sz w:val="28"/>
        </w:rPr>
        <w:t>10位的股票中，</w:t>
      </w:r>
      <w:r>
        <w:rPr>
          <w:rFonts w:hint="eastAsia" w:ascii="仿宋" w:hAnsi="仿宋" w:eastAsia="仿宋"/>
          <w:sz w:val="28"/>
        </w:rPr>
        <w:t>材料占据5席，信息技术和工业各占据2席，医疗保健占据1席，跌幅最大的为*ST辅仁，下跌41.33</w:t>
      </w:r>
      <w:r>
        <w:rPr>
          <w:rFonts w:ascii="仿宋" w:hAnsi="仿宋" w:eastAsia="仿宋"/>
          <w:sz w:val="28"/>
        </w:rPr>
        <w:t>%</w:t>
      </w:r>
      <w:r>
        <w:rPr>
          <w:rFonts w:hint="eastAsia" w:ascii="仿宋" w:hAnsi="仿宋" w:eastAsia="仿宋"/>
          <w:sz w:val="28"/>
        </w:rPr>
        <w:t>;其次为众诚科技，下跌12.97</w:t>
      </w:r>
      <w:r>
        <w:rPr>
          <w:rFonts w:ascii="仿宋" w:hAnsi="仿宋" w:eastAsia="仿宋"/>
          <w:sz w:val="28"/>
        </w:rPr>
        <w:t>%。</w:t>
      </w:r>
    </w:p>
    <w:p>
      <w:pPr>
        <w:spacing w:after="156" w:afterLines="50"/>
        <w:jc w:val="center"/>
        <w:rPr>
          <w:rFonts w:ascii="仿宋" w:hAnsi="仿宋" w:eastAsia="仿宋"/>
          <w:b/>
          <w:sz w:val="24"/>
        </w:rPr>
      </w:pPr>
      <w:r>
        <w:rPr>
          <w:rFonts w:hint="eastAsia" w:ascii="仿宋" w:hAnsi="仿宋" w:eastAsia="仿宋"/>
          <w:b/>
          <w:sz w:val="24"/>
        </w:rPr>
        <w:t>表2月跌幅前10的股票</w:t>
      </w:r>
    </w:p>
    <w:tbl>
      <w:tblPr>
        <w:tblStyle w:val="9"/>
        <w:tblW w:w="8396" w:type="dxa"/>
        <w:jc w:val="center"/>
        <w:tblLayout w:type="fixed"/>
        <w:tblCellMar>
          <w:top w:w="0" w:type="dxa"/>
          <w:left w:w="108" w:type="dxa"/>
          <w:bottom w:w="0" w:type="dxa"/>
          <w:right w:w="108" w:type="dxa"/>
        </w:tblCellMar>
      </w:tblPr>
      <w:tblGrid>
        <w:gridCol w:w="705"/>
        <w:gridCol w:w="1276"/>
        <w:gridCol w:w="1133"/>
        <w:gridCol w:w="1135"/>
        <w:gridCol w:w="1714"/>
        <w:gridCol w:w="1338"/>
        <w:gridCol w:w="1095"/>
      </w:tblGrid>
      <w:tr>
        <w:tblPrEx>
          <w:tblCellMar>
            <w:top w:w="0" w:type="dxa"/>
            <w:left w:w="108" w:type="dxa"/>
            <w:bottom w:w="0" w:type="dxa"/>
            <w:right w:w="108" w:type="dxa"/>
          </w:tblCellMar>
        </w:tblPrEx>
        <w:trPr>
          <w:trHeight w:val="27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证券代码</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证券简称</w:t>
            </w:r>
          </w:p>
        </w:tc>
        <w:tc>
          <w:tcPr>
            <w:tcW w:w="113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月跌幅</w:t>
            </w:r>
          </w:p>
          <w:p>
            <w:pPr>
              <w:widowControl/>
              <w:jc w:val="center"/>
              <w:rPr>
                <w:rFonts w:ascii="仿宋" w:hAnsi="仿宋" w:eastAsia="仿宋"/>
                <w:b/>
                <w:color w:val="000000"/>
                <w:szCs w:val="21"/>
              </w:rPr>
            </w:pPr>
            <w:r>
              <w:rPr>
                <w:rFonts w:hint="eastAsia" w:ascii="仿宋" w:hAnsi="仿宋" w:eastAsia="仿宋"/>
                <w:b/>
                <w:color w:val="000000"/>
                <w:szCs w:val="21"/>
              </w:rPr>
              <w:t>（</w:t>
            </w:r>
            <w:r>
              <w:rPr>
                <w:rFonts w:ascii="仿宋" w:hAnsi="仿宋" w:eastAsia="仿宋"/>
                <w:b/>
                <w:color w:val="000000"/>
                <w:szCs w:val="21"/>
              </w:rPr>
              <w:t>%</w:t>
            </w:r>
            <w:r>
              <w:rPr>
                <w:rFonts w:hint="eastAsia" w:ascii="仿宋" w:hAnsi="仿宋" w:eastAsia="仿宋"/>
                <w:b/>
                <w:color w:val="000000"/>
                <w:szCs w:val="21"/>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收盘价</w:t>
            </w:r>
          </w:p>
          <w:p>
            <w:pPr>
              <w:widowControl/>
              <w:jc w:val="center"/>
              <w:rPr>
                <w:rFonts w:ascii="仿宋" w:hAnsi="仿宋" w:eastAsia="仿宋"/>
                <w:b/>
                <w:color w:val="000000"/>
                <w:szCs w:val="21"/>
              </w:rPr>
            </w:pPr>
            <w:r>
              <w:rPr>
                <w:rFonts w:ascii="仿宋" w:hAnsi="仿宋" w:eastAsia="仿宋"/>
                <w:b/>
                <w:color w:val="000000"/>
                <w:szCs w:val="21"/>
              </w:rPr>
              <w:t>（2023-02-28）</w:t>
            </w:r>
          </w:p>
        </w:tc>
        <w:tc>
          <w:tcPr>
            <w:tcW w:w="13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年涨跌幅（</w:t>
            </w:r>
            <w:r>
              <w:rPr>
                <w:rFonts w:ascii="仿宋" w:hAnsi="仿宋" w:eastAsia="仿宋"/>
                <w:b/>
                <w:color w:val="000000"/>
                <w:szCs w:val="21"/>
              </w:rPr>
              <w:t>%</w:t>
            </w:r>
            <w:r>
              <w:rPr>
                <w:rFonts w:hint="eastAsia" w:ascii="仿宋" w:hAnsi="仿宋" w:eastAsia="仿宋"/>
                <w:b/>
                <w:color w:val="000000"/>
                <w:szCs w:val="21"/>
              </w:rPr>
              <w:t>）</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所属行业</w:t>
            </w:r>
          </w:p>
          <w:p>
            <w:pPr>
              <w:widowControl/>
              <w:jc w:val="center"/>
              <w:rPr>
                <w:rFonts w:ascii="仿宋" w:hAnsi="仿宋" w:eastAsia="仿宋"/>
                <w:b/>
                <w:color w:val="000000"/>
                <w:szCs w:val="21"/>
              </w:rPr>
            </w:pPr>
            <w:r>
              <w:rPr>
                <w:rFonts w:hint="eastAsia" w:ascii="仿宋" w:hAnsi="仿宋" w:eastAsia="仿宋"/>
                <w:b/>
                <w:color w:val="000000"/>
                <w:szCs w:val="21"/>
              </w:rPr>
              <w:t>（Wind）</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600781.SH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*ST辅仁</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-41.33</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1.15</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-47.49</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医疗保健</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2</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835207.BJ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众诚科技</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-12.97</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6.51</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9.97</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信息技术</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3</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839725.BJ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惠丰钻石</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-12.27</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18.30</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4.93</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4</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300850.SZ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新强联</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-12.04</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55.88</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4.88</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5</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301071.SZ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力量钻石</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-10.06</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125.17</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5.05</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6</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300481.SZ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濮阳惠成</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-10.00</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29.16</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9.09</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7</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002560.SZ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通达股份</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-9.81</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9.93</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45.60</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8</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834407.BJ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驰诚股份</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-9.29</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7.71</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-9.29</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信息技术</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9</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601677.SH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明泰铝业</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-8.76</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18.13</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-0.06</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10</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300179.SZ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四方达</w:t>
            </w:r>
          </w:p>
        </w:tc>
        <w:tc>
          <w:tcPr>
            <w:tcW w:w="1135"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-7.87</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13.23</w:t>
            </w:r>
          </w:p>
        </w:tc>
        <w:tc>
          <w:tcPr>
            <w:tcW w:w="1338"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7.04</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bl>
    <w:p>
      <w:pPr>
        <w:spacing w:before="156" w:beforeLines="50" w:after="156" w:afterLines="50"/>
        <w:rPr>
          <w:rFonts w:ascii="仿宋" w:hAnsi="仿宋" w:eastAsia="仿宋"/>
          <w:sz w:val="28"/>
        </w:rPr>
      </w:pPr>
      <w:r>
        <w:rPr>
          <w:rFonts w:hint="eastAsia" w:ascii="仿宋" w:hAnsi="仿宋" w:eastAsia="仿宋"/>
          <w:b/>
          <w:sz w:val="28"/>
        </w:rPr>
        <w:t>五、河南</w:t>
      </w:r>
      <w:r>
        <w:rPr>
          <w:rFonts w:ascii="仿宋" w:hAnsi="仿宋" w:eastAsia="仿宋"/>
          <w:b/>
          <w:sz w:val="28"/>
        </w:rPr>
        <w:t>辖区</w:t>
      </w:r>
      <w:r>
        <w:rPr>
          <w:rFonts w:hint="eastAsia" w:ascii="仿宋" w:hAnsi="仿宋" w:eastAsia="仿宋"/>
          <w:b/>
          <w:sz w:val="28"/>
        </w:rPr>
        <w:t>上市公司2</w:t>
      </w:r>
      <w:r>
        <w:rPr>
          <w:rFonts w:ascii="仿宋" w:hAnsi="仿宋" w:eastAsia="仿宋"/>
          <w:b/>
          <w:sz w:val="28"/>
        </w:rPr>
        <w:t>月重大事项</w:t>
      </w:r>
    </w:p>
    <w:p>
      <w:pPr>
        <w:spacing w:before="156" w:beforeLines="50" w:after="156" w:afterLines="50"/>
        <w:ind w:firstLine="562" w:firstLineChars="200"/>
        <w:rPr>
          <w:rFonts w:ascii="仿宋" w:hAnsi="仿宋" w:eastAsia="仿宋"/>
          <w:b/>
          <w:sz w:val="28"/>
          <w:szCs w:val="30"/>
        </w:rPr>
      </w:pPr>
      <w:r>
        <w:rPr>
          <w:rFonts w:hint="eastAsia" w:ascii="仿宋" w:hAnsi="仿宋" w:eastAsia="仿宋"/>
          <w:b/>
          <w:sz w:val="28"/>
          <w:szCs w:val="30"/>
        </w:rPr>
        <w:t>1.IPO相关</w:t>
      </w:r>
    </w:p>
    <w:p>
      <w:pPr>
        <w:spacing w:before="156" w:beforeLines="50" w:after="156" w:afterLines="50"/>
        <w:jc w:val="center"/>
        <w:rPr>
          <w:rFonts w:ascii="仿宋" w:hAnsi="仿宋" w:eastAsia="仿宋"/>
          <w:b/>
          <w:sz w:val="24"/>
        </w:rPr>
      </w:pPr>
      <w:r>
        <w:rPr>
          <w:rFonts w:hint="eastAsia" w:ascii="仿宋" w:hAnsi="仿宋" w:eastAsia="仿宋"/>
          <w:b/>
          <w:sz w:val="24"/>
        </w:rPr>
        <w:t>表3</w:t>
      </w:r>
      <w:r>
        <w:rPr>
          <w:rFonts w:ascii="仿宋" w:hAnsi="仿宋" w:eastAsia="仿宋"/>
          <w:b/>
          <w:sz w:val="24"/>
        </w:rPr>
        <w:t xml:space="preserve"> </w:t>
      </w:r>
      <w:r>
        <w:rPr>
          <w:rFonts w:hint="eastAsia" w:ascii="仿宋" w:hAnsi="仿宋" w:eastAsia="仿宋"/>
          <w:b/>
          <w:sz w:val="24"/>
        </w:rPr>
        <w:t>IPO相关情况</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1035"/>
        <w:gridCol w:w="989"/>
        <w:gridCol w:w="3254"/>
        <w:gridCol w:w="1152"/>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12" w:type="pct"/>
            <w:vAlign w:val="center"/>
          </w:tcPr>
          <w:p>
            <w:pPr>
              <w:jc w:val="center"/>
              <w:rPr>
                <w:rFonts w:ascii="仿宋" w:hAnsi="仿宋" w:eastAsia="仿宋"/>
                <w:b/>
                <w:szCs w:val="21"/>
              </w:rPr>
            </w:pPr>
            <w:r>
              <w:rPr>
                <w:rFonts w:hint="eastAsia" w:ascii="仿宋" w:hAnsi="仿宋" w:eastAsia="仿宋"/>
                <w:b/>
                <w:szCs w:val="21"/>
              </w:rPr>
              <w:t>序号</w:t>
            </w:r>
          </w:p>
        </w:tc>
        <w:tc>
          <w:tcPr>
            <w:tcW w:w="607" w:type="pct"/>
            <w:vAlign w:val="center"/>
          </w:tcPr>
          <w:p>
            <w:pPr>
              <w:jc w:val="center"/>
              <w:rPr>
                <w:rFonts w:ascii="仿宋" w:hAnsi="仿宋" w:eastAsia="仿宋"/>
                <w:b/>
                <w:szCs w:val="21"/>
              </w:rPr>
            </w:pPr>
            <w:r>
              <w:rPr>
                <w:rFonts w:hint="eastAsia" w:ascii="仿宋" w:hAnsi="仿宋" w:eastAsia="仿宋"/>
                <w:b/>
                <w:szCs w:val="21"/>
              </w:rPr>
              <w:t>交易所</w:t>
            </w:r>
          </w:p>
        </w:tc>
        <w:tc>
          <w:tcPr>
            <w:tcW w:w="580" w:type="pct"/>
            <w:vAlign w:val="center"/>
          </w:tcPr>
          <w:p>
            <w:pPr>
              <w:jc w:val="center"/>
              <w:rPr>
                <w:rFonts w:ascii="仿宋" w:hAnsi="仿宋" w:eastAsia="仿宋"/>
                <w:b/>
                <w:szCs w:val="21"/>
              </w:rPr>
            </w:pPr>
            <w:r>
              <w:rPr>
                <w:rFonts w:hint="eastAsia" w:ascii="仿宋" w:hAnsi="仿宋" w:eastAsia="仿宋"/>
                <w:b/>
                <w:szCs w:val="21"/>
              </w:rPr>
              <w:t>板块</w:t>
            </w:r>
          </w:p>
        </w:tc>
        <w:tc>
          <w:tcPr>
            <w:tcW w:w="1909" w:type="pct"/>
            <w:vAlign w:val="center"/>
          </w:tcPr>
          <w:p>
            <w:pPr>
              <w:jc w:val="center"/>
              <w:rPr>
                <w:rFonts w:ascii="仿宋" w:hAnsi="仿宋" w:eastAsia="仿宋"/>
                <w:b/>
                <w:szCs w:val="21"/>
              </w:rPr>
            </w:pPr>
            <w:r>
              <w:rPr>
                <w:rFonts w:hint="eastAsia" w:ascii="仿宋" w:hAnsi="仿宋" w:eastAsia="仿宋"/>
                <w:b/>
                <w:szCs w:val="21"/>
              </w:rPr>
              <w:t>公司名称</w:t>
            </w:r>
          </w:p>
        </w:tc>
        <w:tc>
          <w:tcPr>
            <w:tcW w:w="676" w:type="pct"/>
            <w:vAlign w:val="center"/>
          </w:tcPr>
          <w:p>
            <w:pPr>
              <w:jc w:val="center"/>
              <w:rPr>
                <w:rFonts w:ascii="仿宋" w:hAnsi="仿宋" w:eastAsia="仿宋"/>
                <w:b/>
                <w:szCs w:val="21"/>
              </w:rPr>
            </w:pPr>
            <w:r>
              <w:rPr>
                <w:rFonts w:ascii="仿宋" w:hAnsi="仿宋" w:eastAsia="仿宋"/>
                <w:b/>
                <w:szCs w:val="21"/>
              </w:rPr>
              <w:t>状态</w:t>
            </w:r>
          </w:p>
        </w:tc>
        <w:tc>
          <w:tcPr>
            <w:tcW w:w="817" w:type="pct"/>
            <w:vAlign w:val="center"/>
          </w:tcPr>
          <w:p>
            <w:pPr>
              <w:jc w:val="center"/>
              <w:rPr>
                <w:rFonts w:ascii="仿宋" w:hAnsi="仿宋" w:eastAsia="仿宋"/>
                <w:b/>
                <w:szCs w:val="21"/>
              </w:rPr>
            </w:pPr>
            <w:r>
              <w:rPr>
                <w:rFonts w:hint="eastAsia" w:ascii="仿宋" w:hAnsi="仿宋" w:eastAsia="仿宋"/>
                <w:b/>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12" w:type="pct"/>
            <w:vAlign w:val="center"/>
          </w:tcPr>
          <w:p>
            <w:pPr>
              <w:jc w:val="center"/>
              <w:rPr>
                <w:rFonts w:ascii="仿宋" w:hAnsi="仿宋" w:eastAsia="仿宋"/>
                <w:b/>
                <w:szCs w:val="21"/>
              </w:rPr>
            </w:pPr>
            <w:r>
              <w:rPr>
                <w:rFonts w:hint="eastAsia" w:ascii="仿宋" w:hAnsi="仿宋" w:eastAsia="仿宋"/>
                <w:szCs w:val="21"/>
              </w:rPr>
              <w:t>1</w:t>
            </w:r>
          </w:p>
        </w:tc>
        <w:tc>
          <w:tcPr>
            <w:tcW w:w="607" w:type="pct"/>
            <w:vAlign w:val="center"/>
          </w:tcPr>
          <w:p>
            <w:pPr>
              <w:jc w:val="center"/>
              <w:rPr>
                <w:rFonts w:ascii="仿宋" w:hAnsi="仿宋" w:eastAsia="仿宋"/>
                <w:szCs w:val="21"/>
              </w:rPr>
            </w:pPr>
            <w:r>
              <w:rPr>
                <w:rFonts w:hint="eastAsia" w:ascii="仿宋" w:hAnsi="仿宋" w:eastAsia="仿宋"/>
                <w:szCs w:val="21"/>
              </w:rPr>
              <w:t>北交所</w:t>
            </w:r>
          </w:p>
        </w:tc>
        <w:tc>
          <w:tcPr>
            <w:tcW w:w="580" w:type="pct"/>
            <w:vAlign w:val="center"/>
          </w:tcPr>
          <w:p>
            <w:pPr>
              <w:jc w:val="center"/>
              <w:rPr>
                <w:rFonts w:ascii="仿宋" w:hAnsi="仿宋" w:eastAsia="仿宋"/>
                <w:szCs w:val="21"/>
              </w:rPr>
            </w:pPr>
            <w:r>
              <w:rPr>
                <w:rFonts w:hint="eastAsia" w:ascii="仿宋" w:hAnsi="仿宋" w:eastAsia="仿宋"/>
                <w:szCs w:val="21"/>
              </w:rPr>
              <w:t>北证</w:t>
            </w:r>
          </w:p>
        </w:tc>
        <w:tc>
          <w:tcPr>
            <w:tcW w:w="1909" w:type="pct"/>
            <w:vAlign w:val="center"/>
          </w:tcPr>
          <w:p>
            <w:pPr>
              <w:jc w:val="center"/>
              <w:rPr>
                <w:rFonts w:ascii="仿宋" w:hAnsi="仿宋" w:eastAsia="仿宋"/>
                <w:szCs w:val="21"/>
              </w:rPr>
            </w:pPr>
            <w:r>
              <w:rPr>
                <w:rFonts w:hint="eastAsia" w:ascii="仿宋" w:hAnsi="仿宋" w:eastAsia="仿宋"/>
                <w:szCs w:val="21"/>
              </w:rPr>
              <w:t>河南驰诚电气股份有限公司</w:t>
            </w:r>
          </w:p>
        </w:tc>
        <w:tc>
          <w:tcPr>
            <w:tcW w:w="676" w:type="pct"/>
            <w:vAlign w:val="center"/>
          </w:tcPr>
          <w:p>
            <w:pPr>
              <w:jc w:val="center"/>
              <w:rPr>
                <w:rFonts w:ascii="仿宋" w:hAnsi="仿宋" w:eastAsia="仿宋"/>
                <w:szCs w:val="21"/>
              </w:rPr>
            </w:pPr>
            <w:r>
              <w:rPr>
                <w:rFonts w:ascii="仿宋" w:hAnsi="仿宋" w:eastAsia="仿宋"/>
                <w:szCs w:val="21"/>
              </w:rPr>
              <w:t>上市</w:t>
            </w:r>
          </w:p>
        </w:tc>
        <w:tc>
          <w:tcPr>
            <w:tcW w:w="817" w:type="pct"/>
            <w:vAlign w:val="center"/>
          </w:tcPr>
          <w:p>
            <w:pPr>
              <w:jc w:val="center"/>
              <w:rPr>
                <w:rFonts w:ascii="仿宋" w:hAnsi="仿宋" w:eastAsia="仿宋"/>
                <w:szCs w:val="21"/>
              </w:rPr>
            </w:pPr>
            <w:r>
              <w:rPr>
                <w:rFonts w:hint="eastAsia" w:ascii="仿宋" w:hAnsi="仿宋" w:eastAsia="仿宋"/>
                <w:szCs w:val="21"/>
              </w:rPr>
              <w:t>2023-02-16</w:t>
            </w:r>
          </w:p>
        </w:tc>
      </w:tr>
    </w:tbl>
    <w:p>
      <w:pPr>
        <w:spacing w:before="156" w:beforeLines="50" w:after="156" w:afterLines="50"/>
        <w:ind w:firstLine="562" w:firstLineChars="200"/>
        <w:rPr>
          <w:rFonts w:ascii="仿宋" w:hAnsi="仿宋" w:eastAsia="仿宋"/>
          <w:b/>
          <w:sz w:val="28"/>
          <w:szCs w:val="30"/>
        </w:rPr>
      </w:pPr>
      <w:r>
        <w:rPr>
          <w:rFonts w:hint="eastAsia" w:ascii="仿宋" w:hAnsi="仿宋" w:eastAsia="仿宋"/>
          <w:b/>
          <w:sz w:val="28"/>
          <w:szCs w:val="30"/>
        </w:rPr>
        <w:t>2.资本运作</w:t>
      </w:r>
    </w:p>
    <w:p>
      <w:pPr>
        <w:spacing w:before="156" w:beforeLines="50" w:after="156" w:afterLines="50"/>
        <w:jc w:val="center"/>
        <w:rPr>
          <w:rFonts w:ascii="仿宋" w:hAnsi="仿宋" w:eastAsia="仿宋"/>
          <w:b/>
          <w:sz w:val="24"/>
        </w:rPr>
      </w:pPr>
      <w:r>
        <w:rPr>
          <w:rFonts w:ascii="仿宋" w:hAnsi="仿宋" w:eastAsia="仿宋"/>
          <w:b/>
          <w:sz w:val="24"/>
        </w:rPr>
        <w:t>表4对外投资事项</w:t>
      </w:r>
    </w:p>
    <w:tbl>
      <w:tblPr>
        <w:tblStyle w:val="9"/>
        <w:tblW w:w="50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449"/>
        <w:gridCol w:w="1378"/>
        <w:gridCol w:w="1101"/>
        <w:gridCol w:w="4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4" w:type="pct"/>
            <w:tcBorders>
              <w:top w:val="single" w:color="auto" w:sz="4" w:space="0"/>
              <w:left w:val="single" w:color="auto" w:sz="4" w:space="0"/>
              <w:bottom w:val="single" w:color="auto" w:sz="4" w:space="0"/>
              <w:right w:val="single" w:color="auto" w:sz="4" w:space="0"/>
            </w:tcBorders>
          </w:tcPr>
          <w:p>
            <w:pPr>
              <w:jc w:val="center"/>
              <w:rPr>
                <w:rFonts w:ascii="仿宋" w:hAnsi="仿宋" w:eastAsia="仿宋"/>
                <w:b/>
                <w:szCs w:val="21"/>
              </w:rPr>
            </w:pPr>
            <w:r>
              <w:rPr>
                <w:rFonts w:hint="eastAsia" w:ascii="仿宋" w:hAnsi="仿宋" w:eastAsia="仿宋"/>
                <w:b/>
                <w:szCs w:val="21"/>
              </w:rPr>
              <w:t>序号</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披露日期</w:t>
            </w:r>
          </w:p>
        </w:tc>
        <w:tc>
          <w:tcPr>
            <w:tcW w:w="80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64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233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公告事项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2023-02-28</w:t>
            </w:r>
          </w:p>
        </w:tc>
        <w:tc>
          <w:tcPr>
            <w:tcW w:w="80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300701.SZ</w:t>
            </w:r>
          </w:p>
        </w:tc>
        <w:tc>
          <w:tcPr>
            <w:tcW w:w="64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森霸传感</w:t>
            </w:r>
          </w:p>
        </w:tc>
        <w:tc>
          <w:tcPr>
            <w:tcW w:w="23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公司本次使用暂时闲置募集资金购买理财产品。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2023-02-28</w:t>
            </w:r>
          </w:p>
        </w:tc>
        <w:tc>
          <w:tcPr>
            <w:tcW w:w="80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301182.SZ</w:t>
            </w:r>
          </w:p>
        </w:tc>
        <w:tc>
          <w:tcPr>
            <w:tcW w:w="64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凯旺科技</w:t>
            </w:r>
          </w:p>
        </w:tc>
        <w:tc>
          <w:tcPr>
            <w:tcW w:w="23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本次使用部分募集资金进行现金管理。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3</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2023-02-23</w:t>
            </w:r>
          </w:p>
        </w:tc>
        <w:tc>
          <w:tcPr>
            <w:tcW w:w="80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002857.SZ</w:t>
            </w:r>
          </w:p>
        </w:tc>
        <w:tc>
          <w:tcPr>
            <w:tcW w:w="64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三晖电气</w:t>
            </w:r>
          </w:p>
        </w:tc>
        <w:tc>
          <w:tcPr>
            <w:tcW w:w="23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本次现金管理基本情况1、受托方：上海浦东发展银行股份有限公司产品名称：利多多公司稳利23JG3072期（1个月网点专属B款）人民币对公结构性存款产品代码：1201233072金额：3,000万元起始日：2023年2月22日到期日：2023年3月22日产品类型：保本浮动收益型预期年化收益率：1.30%或2.75%或2.95%资金来源：公司自有资金2、受托方：上海浦东发展银行股份有限公司产品名称：利多多公司稳利23JG3072期（1个月网点专属B款）人民币对公结构性存款产品代码：1201233072金额：4,000万元起始日：2023年2月22日到期日：2023年3月22日产品类型：保本浮动收益型预期年化收益率：1.30%或2.75%或2.95%资金来源：全资子公司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4</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2023-02-20</w:t>
            </w:r>
          </w:p>
        </w:tc>
        <w:tc>
          <w:tcPr>
            <w:tcW w:w="80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301182.SZ</w:t>
            </w:r>
          </w:p>
        </w:tc>
        <w:tc>
          <w:tcPr>
            <w:tcW w:w="64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凯旺科技</w:t>
            </w:r>
          </w:p>
        </w:tc>
        <w:tc>
          <w:tcPr>
            <w:tcW w:w="23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公司使用部分募集资金进行现金管理。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5</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2023-02-17</w:t>
            </w:r>
          </w:p>
        </w:tc>
        <w:tc>
          <w:tcPr>
            <w:tcW w:w="80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300807.SZ</w:t>
            </w:r>
          </w:p>
        </w:tc>
        <w:tc>
          <w:tcPr>
            <w:tcW w:w="64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天迈科技</w:t>
            </w:r>
          </w:p>
        </w:tc>
        <w:tc>
          <w:tcPr>
            <w:tcW w:w="23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公司使用闲置自有资金购买的理财产品。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6</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2023-02-17</w:t>
            </w:r>
          </w:p>
        </w:tc>
        <w:tc>
          <w:tcPr>
            <w:tcW w:w="80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301277.SZ</w:t>
            </w:r>
          </w:p>
        </w:tc>
        <w:tc>
          <w:tcPr>
            <w:tcW w:w="64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新天地</w:t>
            </w:r>
          </w:p>
        </w:tc>
        <w:tc>
          <w:tcPr>
            <w:tcW w:w="23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公司继续购买结构性存款的公告。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7</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2023-02-15</w:t>
            </w:r>
          </w:p>
        </w:tc>
        <w:tc>
          <w:tcPr>
            <w:tcW w:w="80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002560.SZ</w:t>
            </w:r>
          </w:p>
        </w:tc>
        <w:tc>
          <w:tcPr>
            <w:tcW w:w="64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通达股份</w:t>
            </w:r>
          </w:p>
        </w:tc>
        <w:tc>
          <w:tcPr>
            <w:tcW w:w="23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近日，公司（含下属全资子公司）使用部分暂时闲置募集资金进行了现金管理。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8</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2023-02-14</w:t>
            </w:r>
          </w:p>
        </w:tc>
        <w:tc>
          <w:tcPr>
            <w:tcW w:w="80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301361.SZ</w:t>
            </w:r>
          </w:p>
        </w:tc>
        <w:tc>
          <w:tcPr>
            <w:tcW w:w="64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众智科技</w:t>
            </w:r>
          </w:p>
        </w:tc>
        <w:tc>
          <w:tcPr>
            <w:tcW w:w="23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公司近期购买理财产品。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9</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2023-02-10</w:t>
            </w:r>
          </w:p>
        </w:tc>
        <w:tc>
          <w:tcPr>
            <w:tcW w:w="80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301182.SZ</w:t>
            </w:r>
          </w:p>
        </w:tc>
        <w:tc>
          <w:tcPr>
            <w:tcW w:w="64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凯旺科技</w:t>
            </w:r>
          </w:p>
        </w:tc>
        <w:tc>
          <w:tcPr>
            <w:tcW w:w="23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公司使用部分募集资金进行现金管理。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10</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2023-02-08</w:t>
            </w:r>
          </w:p>
        </w:tc>
        <w:tc>
          <w:tcPr>
            <w:tcW w:w="80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002406.SZ</w:t>
            </w:r>
          </w:p>
        </w:tc>
        <w:tc>
          <w:tcPr>
            <w:tcW w:w="64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远东传动</w:t>
            </w:r>
          </w:p>
        </w:tc>
        <w:tc>
          <w:tcPr>
            <w:tcW w:w="23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年2月6日公司与中国民生银行郑州分行（以下简称“民生银行”）签订了&lt;&lt;中国民生银行结构性存款产品合同（机构版）&gt;&gt;，公司使用暂时闲置募集资金人民币10,000万元用于购买民生银行聚赢汇率-挂钩中债10年期国债到期收益率结构性存款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11</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2023-02-07</w:t>
            </w:r>
          </w:p>
        </w:tc>
        <w:tc>
          <w:tcPr>
            <w:tcW w:w="80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300732.SZ</w:t>
            </w:r>
          </w:p>
        </w:tc>
        <w:tc>
          <w:tcPr>
            <w:tcW w:w="64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设研院</w:t>
            </w:r>
          </w:p>
        </w:tc>
        <w:tc>
          <w:tcPr>
            <w:tcW w:w="23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近日，公司使用部分暂时闲置自有资金进行了现金管理。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12</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2023-02-03</w:t>
            </w:r>
          </w:p>
        </w:tc>
        <w:tc>
          <w:tcPr>
            <w:tcW w:w="80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301277.SZ</w:t>
            </w:r>
          </w:p>
        </w:tc>
        <w:tc>
          <w:tcPr>
            <w:tcW w:w="64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新天地</w:t>
            </w:r>
          </w:p>
        </w:tc>
        <w:tc>
          <w:tcPr>
            <w:tcW w:w="23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为提高资金使用效率、合理利用自有资金、获取较好的投资回报，河南新天地药业股份有限公司（以下简称“公司”）于2023年2月2日与中国银行股份有限公司长葛支行签订结构性存款认购委托书，使用部分闲置自有资金购买了结构性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13</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2023-02-02</w:t>
            </w:r>
          </w:p>
        </w:tc>
        <w:tc>
          <w:tcPr>
            <w:tcW w:w="80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301277.SZ</w:t>
            </w:r>
          </w:p>
        </w:tc>
        <w:tc>
          <w:tcPr>
            <w:tcW w:w="64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新天地</w:t>
            </w:r>
          </w:p>
        </w:tc>
        <w:tc>
          <w:tcPr>
            <w:tcW w:w="23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河南新天地药业股份有限公司（以下简称“公司”）第五届董事会第九次会议、第五届监事会第六次会议审议通过了&lt;&lt;关于使用部分闲置募集资金进行现金管理的议案&gt;&gt;，同意使用最高额不超过人民币7亿元的暂时闲置募集资金购买投资期限为12个月以内的保本型投资产品（包括但不限于结构性存款、协定存款、通知存款、定期存款、大额存单等），在该额度内资金可以滚动使用。</w:t>
            </w:r>
          </w:p>
        </w:tc>
      </w:tr>
    </w:tbl>
    <w:p>
      <w:pPr>
        <w:spacing w:before="156" w:beforeLines="50" w:after="156" w:afterLines="50"/>
        <w:jc w:val="center"/>
        <w:rPr>
          <w:rFonts w:ascii="仿宋" w:hAnsi="仿宋" w:eastAsia="仿宋"/>
          <w:b/>
          <w:sz w:val="24"/>
        </w:rPr>
      </w:pPr>
      <w:r>
        <w:rPr>
          <w:rFonts w:hint="eastAsia" w:ascii="仿宋" w:hAnsi="仿宋" w:eastAsia="仿宋"/>
          <w:b/>
          <w:sz w:val="24"/>
        </w:rPr>
        <w:t>表5　再融资实施完成事项</w:t>
      </w:r>
    </w:p>
    <w:tbl>
      <w:tblPr>
        <w:tblStyle w:val="9"/>
        <w:tblW w:w="5000" w:type="pct"/>
        <w:jc w:val="center"/>
        <w:tblLayout w:type="autofit"/>
        <w:tblCellMar>
          <w:top w:w="0" w:type="dxa"/>
          <w:left w:w="108" w:type="dxa"/>
          <w:bottom w:w="0" w:type="dxa"/>
          <w:right w:w="108" w:type="dxa"/>
        </w:tblCellMar>
      </w:tblPr>
      <w:tblGrid>
        <w:gridCol w:w="818"/>
        <w:gridCol w:w="1273"/>
        <w:gridCol w:w="1406"/>
        <w:gridCol w:w="1408"/>
        <w:gridCol w:w="1142"/>
        <w:gridCol w:w="1248"/>
        <w:gridCol w:w="1227"/>
      </w:tblGrid>
      <w:tr>
        <w:tblPrEx>
          <w:tblCellMar>
            <w:top w:w="0" w:type="dxa"/>
            <w:left w:w="108" w:type="dxa"/>
            <w:bottom w:w="0" w:type="dxa"/>
            <w:right w:w="108" w:type="dxa"/>
          </w:tblCellMar>
        </w:tblPrEx>
        <w:trPr>
          <w:trHeight w:val="270" w:hRule="atLeast"/>
          <w:jc w:val="center"/>
        </w:trPr>
        <w:tc>
          <w:tcPr>
            <w:tcW w:w="48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序号</w:t>
            </w:r>
          </w:p>
        </w:tc>
        <w:tc>
          <w:tcPr>
            <w:tcW w:w="747"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证券代码</w:t>
            </w:r>
          </w:p>
        </w:tc>
        <w:tc>
          <w:tcPr>
            <w:tcW w:w="825"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证券名称</w:t>
            </w:r>
          </w:p>
        </w:tc>
        <w:tc>
          <w:tcPr>
            <w:tcW w:w="826"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发行日期</w:t>
            </w:r>
          </w:p>
        </w:tc>
        <w:tc>
          <w:tcPr>
            <w:tcW w:w="670"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上市日期</w:t>
            </w:r>
          </w:p>
        </w:tc>
        <w:tc>
          <w:tcPr>
            <w:tcW w:w="73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事项类型</w:t>
            </w:r>
          </w:p>
        </w:tc>
        <w:tc>
          <w:tcPr>
            <w:tcW w:w="72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发行规模(亿元)</w:t>
            </w:r>
          </w:p>
        </w:tc>
      </w:tr>
      <w:tr>
        <w:tblPrEx>
          <w:tblCellMar>
            <w:top w:w="0" w:type="dxa"/>
            <w:left w:w="108" w:type="dxa"/>
            <w:bottom w:w="0" w:type="dxa"/>
            <w:right w:w="108" w:type="dxa"/>
          </w:tblCellMar>
        </w:tblPrEx>
        <w:trPr>
          <w:trHeight w:val="270" w:hRule="atLeast"/>
          <w:jc w:val="center"/>
        </w:trPr>
        <w:tc>
          <w:tcPr>
            <w:tcW w:w="48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w:t>
            </w:r>
          </w:p>
        </w:tc>
        <w:tc>
          <w:tcPr>
            <w:tcW w:w="747"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18"/>
              </w:rPr>
              <w:t>300614.SZ</w:t>
            </w:r>
          </w:p>
        </w:tc>
        <w:tc>
          <w:tcPr>
            <w:tcW w:w="825"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百川畅银</w:t>
            </w:r>
          </w:p>
        </w:tc>
        <w:tc>
          <w:tcPr>
            <w:tcW w:w="826"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2023-02-22</w:t>
            </w:r>
          </w:p>
        </w:tc>
        <w:tc>
          <w:tcPr>
            <w:tcW w:w="670"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w:t>
            </w:r>
          </w:p>
        </w:tc>
        <w:tc>
          <w:tcPr>
            <w:tcW w:w="73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可转债</w:t>
            </w:r>
          </w:p>
        </w:tc>
        <w:tc>
          <w:tcPr>
            <w:tcW w:w="72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4.20</w:t>
            </w:r>
          </w:p>
        </w:tc>
      </w:tr>
    </w:tbl>
    <w:p>
      <w:pPr>
        <w:spacing w:before="156" w:beforeLines="50" w:after="156" w:afterLines="50"/>
        <w:jc w:val="center"/>
        <w:rPr>
          <w:rFonts w:ascii="仿宋" w:hAnsi="仿宋" w:eastAsia="仿宋"/>
          <w:b/>
          <w:sz w:val="24"/>
        </w:rPr>
      </w:pPr>
      <w:r>
        <w:rPr>
          <w:rFonts w:hint="eastAsia" w:ascii="仿宋" w:hAnsi="仿宋" w:eastAsia="仿宋"/>
          <w:b/>
          <w:sz w:val="24"/>
        </w:rPr>
        <w:t>表6　再融资预案披露事项</w:t>
      </w:r>
    </w:p>
    <w:tbl>
      <w:tblPr>
        <w:tblStyle w:val="9"/>
        <w:tblW w:w="6063" w:type="pct"/>
        <w:jc w:val="center"/>
        <w:tblLayout w:type="fixed"/>
        <w:tblCellMar>
          <w:top w:w="0" w:type="dxa"/>
          <w:left w:w="108" w:type="dxa"/>
          <w:bottom w:w="0" w:type="dxa"/>
          <w:right w:w="108" w:type="dxa"/>
        </w:tblCellMar>
      </w:tblPr>
      <w:tblGrid>
        <w:gridCol w:w="838"/>
        <w:gridCol w:w="1321"/>
        <w:gridCol w:w="1491"/>
        <w:gridCol w:w="1203"/>
        <w:gridCol w:w="1141"/>
        <w:gridCol w:w="1109"/>
        <w:gridCol w:w="1701"/>
        <w:gridCol w:w="1530"/>
      </w:tblGrid>
      <w:tr>
        <w:tblPrEx>
          <w:tblCellMar>
            <w:top w:w="0" w:type="dxa"/>
            <w:left w:w="108" w:type="dxa"/>
            <w:bottom w:w="0" w:type="dxa"/>
            <w:right w:w="108" w:type="dxa"/>
          </w:tblCellMar>
        </w:tblPrEx>
        <w:trPr>
          <w:trHeight w:val="270" w:hRule="atLeast"/>
          <w:jc w:val="center"/>
        </w:trPr>
        <w:tc>
          <w:tcPr>
            <w:tcW w:w="40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序号</w:t>
            </w:r>
          </w:p>
        </w:tc>
        <w:tc>
          <w:tcPr>
            <w:tcW w:w="639"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预案公告日</w:t>
            </w:r>
          </w:p>
        </w:tc>
        <w:tc>
          <w:tcPr>
            <w:tcW w:w="72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最新披露日</w:t>
            </w:r>
          </w:p>
        </w:tc>
        <w:tc>
          <w:tcPr>
            <w:tcW w:w="58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55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537" w:type="pct"/>
            <w:tcBorders>
              <w:top w:val="single" w:color="auto" w:sz="4" w:space="0"/>
              <w:left w:val="nil"/>
              <w:bottom w:val="single" w:color="auto" w:sz="4" w:space="0"/>
              <w:right w:val="single" w:color="auto" w:sz="4" w:space="0"/>
            </w:tcBorders>
            <w:vAlign w:val="center"/>
          </w:tcPr>
          <w:p>
            <w:pPr>
              <w:jc w:val="center"/>
              <w:rPr>
                <w:rFonts w:ascii="仿宋" w:hAnsi="仿宋" w:eastAsia="仿宋"/>
                <w:b/>
                <w:szCs w:val="21"/>
              </w:rPr>
            </w:pPr>
            <w:r>
              <w:rPr>
                <w:rFonts w:hint="eastAsia" w:ascii="仿宋" w:hAnsi="仿宋" w:eastAsia="仿宋"/>
                <w:b/>
                <w:szCs w:val="21"/>
              </w:rPr>
              <w:t>事项类型</w:t>
            </w:r>
          </w:p>
        </w:tc>
        <w:tc>
          <w:tcPr>
            <w:tcW w:w="8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方案进度</w:t>
            </w:r>
          </w:p>
        </w:tc>
        <w:tc>
          <w:tcPr>
            <w:tcW w:w="74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预计募集资金</w:t>
            </w:r>
          </w:p>
          <w:p>
            <w:pPr>
              <w:jc w:val="center"/>
              <w:rPr>
                <w:rFonts w:ascii="仿宋" w:hAnsi="仿宋" w:eastAsia="仿宋"/>
                <w:b/>
                <w:szCs w:val="21"/>
              </w:rPr>
            </w:pPr>
            <w:r>
              <w:rPr>
                <w:rFonts w:hint="eastAsia" w:ascii="仿宋" w:hAnsi="仿宋" w:eastAsia="仿宋"/>
                <w:b/>
                <w:szCs w:val="21"/>
              </w:rPr>
              <w:t>(亿元)</w:t>
            </w:r>
          </w:p>
        </w:tc>
      </w:tr>
      <w:tr>
        <w:tblPrEx>
          <w:tblCellMar>
            <w:top w:w="0" w:type="dxa"/>
            <w:left w:w="108" w:type="dxa"/>
            <w:bottom w:w="0" w:type="dxa"/>
            <w:right w:w="108" w:type="dxa"/>
          </w:tblCellMar>
        </w:tblPrEx>
        <w:trPr>
          <w:trHeight w:val="270" w:hRule="atLeast"/>
          <w:jc w:val="center"/>
        </w:trPr>
        <w:tc>
          <w:tcPr>
            <w:tcW w:w="406"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ascii="仿宋" w:hAnsi="仿宋" w:eastAsia="仿宋"/>
                <w:szCs w:val="21"/>
              </w:rPr>
              <w:t>1</w:t>
            </w:r>
          </w:p>
        </w:tc>
        <w:tc>
          <w:tcPr>
            <w:tcW w:w="63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2022-12-22</w:t>
            </w:r>
          </w:p>
        </w:tc>
        <w:tc>
          <w:tcPr>
            <w:tcW w:w="721"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2023-02-04</w:t>
            </w:r>
          </w:p>
        </w:tc>
        <w:tc>
          <w:tcPr>
            <w:tcW w:w="582"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000885.SZ</w:t>
            </w:r>
          </w:p>
        </w:tc>
        <w:tc>
          <w:tcPr>
            <w:tcW w:w="552"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城发环境</w:t>
            </w:r>
          </w:p>
        </w:tc>
        <w:tc>
          <w:tcPr>
            <w:tcW w:w="537"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可转债</w:t>
            </w:r>
          </w:p>
        </w:tc>
        <w:tc>
          <w:tcPr>
            <w:tcW w:w="8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股东大会通过</w:t>
            </w:r>
          </w:p>
        </w:tc>
        <w:tc>
          <w:tcPr>
            <w:tcW w:w="741"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23.00</w:t>
            </w:r>
          </w:p>
        </w:tc>
      </w:tr>
      <w:tr>
        <w:tblPrEx>
          <w:tblCellMar>
            <w:top w:w="0" w:type="dxa"/>
            <w:left w:w="108" w:type="dxa"/>
            <w:bottom w:w="0" w:type="dxa"/>
            <w:right w:w="108" w:type="dxa"/>
          </w:tblCellMar>
        </w:tblPrEx>
        <w:trPr>
          <w:trHeight w:val="270" w:hRule="atLeast"/>
          <w:jc w:val="center"/>
        </w:trPr>
        <w:tc>
          <w:tcPr>
            <w:tcW w:w="406"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ascii="仿宋" w:hAnsi="仿宋" w:eastAsia="仿宋"/>
                <w:szCs w:val="21"/>
              </w:rPr>
              <w:t>2</w:t>
            </w:r>
          </w:p>
        </w:tc>
        <w:tc>
          <w:tcPr>
            <w:tcW w:w="63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2022-06-08</w:t>
            </w:r>
          </w:p>
        </w:tc>
        <w:tc>
          <w:tcPr>
            <w:tcW w:w="721"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2023-02-14</w:t>
            </w:r>
          </w:p>
        </w:tc>
        <w:tc>
          <w:tcPr>
            <w:tcW w:w="582"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601666.SH</w:t>
            </w:r>
          </w:p>
        </w:tc>
        <w:tc>
          <w:tcPr>
            <w:tcW w:w="552"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平煤股份</w:t>
            </w:r>
          </w:p>
        </w:tc>
        <w:tc>
          <w:tcPr>
            <w:tcW w:w="537"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可转债</w:t>
            </w:r>
          </w:p>
        </w:tc>
        <w:tc>
          <w:tcPr>
            <w:tcW w:w="8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证监会核准</w:t>
            </w:r>
          </w:p>
        </w:tc>
        <w:tc>
          <w:tcPr>
            <w:tcW w:w="741"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29.00</w:t>
            </w:r>
          </w:p>
        </w:tc>
      </w:tr>
      <w:tr>
        <w:tblPrEx>
          <w:tblCellMar>
            <w:top w:w="0" w:type="dxa"/>
            <w:left w:w="108" w:type="dxa"/>
            <w:bottom w:w="0" w:type="dxa"/>
            <w:right w:w="108" w:type="dxa"/>
          </w:tblCellMar>
        </w:tblPrEx>
        <w:trPr>
          <w:trHeight w:val="270" w:hRule="atLeast"/>
          <w:jc w:val="center"/>
        </w:trPr>
        <w:tc>
          <w:tcPr>
            <w:tcW w:w="406"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ascii="仿宋" w:hAnsi="仿宋" w:eastAsia="仿宋"/>
                <w:szCs w:val="21"/>
              </w:rPr>
              <w:t>3</w:t>
            </w:r>
          </w:p>
        </w:tc>
        <w:tc>
          <w:tcPr>
            <w:tcW w:w="63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2022-05-24</w:t>
            </w:r>
          </w:p>
        </w:tc>
        <w:tc>
          <w:tcPr>
            <w:tcW w:w="721"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2023-02-15</w:t>
            </w:r>
          </w:p>
        </w:tc>
        <w:tc>
          <w:tcPr>
            <w:tcW w:w="582"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688357.SH</w:t>
            </w:r>
          </w:p>
        </w:tc>
        <w:tc>
          <w:tcPr>
            <w:tcW w:w="552"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建龙微纳</w:t>
            </w:r>
          </w:p>
        </w:tc>
        <w:tc>
          <w:tcPr>
            <w:tcW w:w="537"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可转债</w:t>
            </w:r>
          </w:p>
        </w:tc>
        <w:tc>
          <w:tcPr>
            <w:tcW w:w="8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证监会核准</w:t>
            </w:r>
          </w:p>
        </w:tc>
        <w:tc>
          <w:tcPr>
            <w:tcW w:w="741"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7.00</w:t>
            </w:r>
          </w:p>
        </w:tc>
      </w:tr>
      <w:tr>
        <w:tblPrEx>
          <w:tblCellMar>
            <w:top w:w="0" w:type="dxa"/>
            <w:left w:w="108" w:type="dxa"/>
            <w:bottom w:w="0" w:type="dxa"/>
            <w:right w:w="108" w:type="dxa"/>
          </w:tblCellMar>
        </w:tblPrEx>
        <w:trPr>
          <w:trHeight w:val="270" w:hRule="atLeast"/>
          <w:jc w:val="center"/>
        </w:trPr>
        <w:tc>
          <w:tcPr>
            <w:tcW w:w="406" w:type="pc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ascii="仿宋" w:hAnsi="仿宋" w:eastAsia="仿宋"/>
                <w:szCs w:val="21"/>
              </w:rPr>
              <w:t>4</w:t>
            </w:r>
          </w:p>
        </w:tc>
        <w:tc>
          <w:tcPr>
            <w:tcW w:w="63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2022-04-02</w:t>
            </w:r>
          </w:p>
        </w:tc>
        <w:tc>
          <w:tcPr>
            <w:tcW w:w="721"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2023-02-18</w:t>
            </w:r>
          </w:p>
        </w:tc>
        <w:tc>
          <w:tcPr>
            <w:tcW w:w="582"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600810.SH</w:t>
            </w:r>
          </w:p>
        </w:tc>
        <w:tc>
          <w:tcPr>
            <w:tcW w:w="552"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神马股份</w:t>
            </w:r>
          </w:p>
        </w:tc>
        <w:tc>
          <w:tcPr>
            <w:tcW w:w="537"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可转债</w:t>
            </w:r>
          </w:p>
        </w:tc>
        <w:tc>
          <w:tcPr>
            <w:tcW w:w="8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证监会核准</w:t>
            </w:r>
          </w:p>
        </w:tc>
        <w:tc>
          <w:tcPr>
            <w:tcW w:w="741"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30.00</w:t>
            </w:r>
          </w:p>
        </w:tc>
      </w:tr>
    </w:tbl>
    <w:p>
      <w:pPr>
        <w:spacing w:before="156" w:beforeLines="50" w:after="156" w:afterLines="50"/>
        <w:jc w:val="center"/>
        <w:rPr>
          <w:rFonts w:ascii="仿宋" w:hAnsi="仿宋" w:eastAsia="仿宋"/>
          <w:b/>
          <w:sz w:val="24"/>
        </w:rPr>
      </w:pPr>
      <w:r>
        <w:rPr>
          <w:rFonts w:ascii="仿宋" w:hAnsi="仿宋" w:eastAsia="仿宋"/>
          <w:b/>
          <w:sz w:val="24"/>
        </w:rPr>
        <w:t>表7　上市公司重大资产重组事项</w:t>
      </w:r>
    </w:p>
    <w:tbl>
      <w:tblPr>
        <w:tblStyle w:val="9"/>
        <w:tblW w:w="6063" w:type="pct"/>
        <w:jc w:val="center"/>
        <w:tblLayout w:type="fixed"/>
        <w:tblCellMar>
          <w:top w:w="0" w:type="dxa"/>
          <w:left w:w="108" w:type="dxa"/>
          <w:bottom w:w="0" w:type="dxa"/>
          <w:right w:w="108" w:type="dxa"/>
        </w:tblCellMar>
      </w:tblPr>
      <w:tblGrid>
        <w:gridCol w:w="728"/>
        <w:gridCol w:w="1218"/>
        <w:gridCol w:w="1182"/>
        <w:gridCol w:w="1381"/>
        <w:gridCol w:w="1309"/>
        <w:gridCol w:w="1313"/>
        <w:gridCol w:w="1599"/>
        <w:gridCol w:w="1604"/>
      </w:tblGrid>
      <w:tr>
        <w:tblPrEx>
          <w:tblCellMar>
            <w:top w:w="0" w:type="dxa"/>
            <w:left w:w="108" w:type="dxa"/>
            <w:bottom w:w="0" w:type="dxa"/>
            <w:right w:w="108" w:type="dxa"/>
          </w:tblCellMar>
        </w:tblPrEx>
        <w:trPr>
          <w:trHeight w:val="270" w:hRule="atLeast"/>
          <w:jc w:val="center"/>
        </w:trPr>
        <w:tc>
          <w:tcPr>
            <w:tcW w:w="35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rPr>
            </w:pPr>
            <w:r>
              <w:rPr>
                <w:rFonts w:hint="eastAsia" w:ascii="仿宋" w:hAnsi="仿宋" w:eastAsia="仿宋"/>
                <w:b/>
              </w:rPr>
              <w:t>序号</w:t>
            </w:r>
          </w:p>
        </w:tc>
        <w:tc>
          <w:tcPr>
            <w:tcW w:w="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证券代码</w:t>
            </w:r>
          </w:p>
        </w:tc>
        <w:tc>
          <w:tcPr>
            <w:tcW w:w="57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证券名称</w:t>
            </w:r>
          </w:p>
        </w:tc>
        <w:tc>
          <w:tcPr>
            <w:tcW w:w="668"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最新披露</w:t>
            </w:r>
          </w:p>
        </w:tc>
        <w:tc>
          <w:tcPr>
            <w:tcW w:w="633"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首次披露</w:t>
            </w:r>
          </w:p>
        </w:tc>
        <w:tc>
          <w:tcPr>
            <w:tcW w:w="635"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参与方角色</w:t>
            </w:r>
          </w:p>
        </w:tc>
        <w:tc>
          <w:tcPr>
            <w:tcW w:w="77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重组进度</w:t>
            </w:r>
          </w:p>
        </w:tc>
        <w:tc>
          <w:tcPr>
            <w:tcW w:w="776"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重组事件</w:t>
            </w:r>
          </w:p>
        </w:tc>
      </w:tr>
      <w:tr>
        <w:tblPrEx>
          <w:tblCellMar>
            <w:top w:w="0" w:type="dxa"/>
            <w:left w:w="108" w:type="dxa"/>
            <w:bottom w:w="0" w:type="dxa"/>
            <w:right w:w="108" w:type="dxa"/>
          </w:tblCellMar>
        </w:tblPrEx>
        <w:trPr>
          <w:trHeight w:val="270" w:hRule="atLeast"/>
          <w:jc w:val="center"/>
        </w:trPr>
        <w:tc>
          <w:tcPr>
            <w:tcW w:w="35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000544.SZ</w:t>
            </w:r>
          </w:p>
        </w:tc>
        <w:tc>
          <w:tcPr>
            <w:tcW w:w="57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中原环保</w:t>
            </w:r>
          </w:p>
        </w:tc>
        <w:tc>
          <w:tcPr>
            <w:tcW w:w="668"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2023-02-24</w:t>
            </w:r>
          </w:p>
        </w:tc>
        <w:tc>
          <w:tcPr>
            <w:tcW w:w="633"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2022-12-10</w:t>
            </w:r>
          </w:p>
        </w:tc>
        <w:tc>
          <w:tcPr>
            <w:tcW w:w="635"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竞买方</w:t>
            </w:r>
          </w:p>
        </w:tc>
        <w:tc>
          <w:tcPr>
            <w:tcW w:w="77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股东大会通过</w:t>
            </w:r>
          </w:p>
        </w:tc>
        <w:tc>
          <w:tcPr>
            <w:tcW w:w="776"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中原环保收购净化公司100%股权。</w:t>
            </w:r>
          </w:p>
        </w:tc>
      </w:tr>
      <w:tr>
        <w:tblPrEx>
          <w:tblCellMar>
            <w:top w:w="0" w:type="dxa"/>
            <w:left w:w="108" w:type="dxa"/>
            <w:bottom w:w="0" w:type="dxa"/>
            <w:right w:w="108" w:type="dxa"/>
          </w:tblCellMar>
        </w:tblPrEx>
        <w:trPr>
          <w:trHeight w:val="270" w:hRule="atLeast"/>
          <w:jc w:val="center"/>
        </w:trPr>
        <w:tc>
          <w:tcPr>
            <w:tcW w:w="352"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w:t>
            </w:r>
          </w:p>
        </w:tc>
        <w:tc>
          <w:tcPr>
            <w:tcW w:w="58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300007.SZ</w:t>
            </w:r>
          </w:p>
        </w:tc>
        <w:tc>
          <w:tcPr>
            <w:tcW w:w="57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汉威科技</w:t>
            </w:r>
          </w:p>
        </w:tc>
        <w:tc>
          <w:tcPr>
            <w:tcW w:w="668"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2023-02-21</w:t>
            </w:r>
          </w:p>
        </w:tc>
        <w:tc>
          <w:tcPr>
            <w:tcW w:w="633"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2023-02-21</w:t>
            </w:r>
          </w:p>
        </w:tc>
        <w:tc>
          <w:tcPr>
            <w:tcW w:w="635"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出让方</w:t>
            </w:r>
          </w:p>
        </w:tc>
        <w:tc>
          <w:tcPr>
            <w:tcW w:w="77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董事会预案</w:t>
            </w:r>
          </w:p>
        </w:tc>
        <w:tc>
          <w:tcPr>
            <w:tcW w:w="776"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汉威科技出售汉威智源65%股权。</w:t>
            </w:r>
          </w:p>
        </w:tc>
      </w:tr>
    </w:tbl>
    <w:p>
      <w:pPr>
        <w:spacing w:before="156" w:beforeLines="50" w:after="120"/>
        <w:ind w:firstLine="562" w:firstLineChars="200"/>
        <w:rPr>
          <w:rFonts w:ascii="仿宋" w:hAnsi="仿宋" w:eastAsia="仿宋"/>
          <w:b/>
          <w:sz w:val="28"/>
          <w:szCs w:val="30"/>
        </w:rPr>
      </w:pPr>
      <w:r>
        <w:rPr>
          <w:rFonts w:ascii="仿宋" w:hAnsi="仿宋" w:eastAsia="仿宋"/>
          <w:b/>
          <w:sz w:val="28"/>
          <w:szCs w:val="30"/>
        </w:rPr>
        <w:t>3.业绩与分红</w:t>
      </w:r>
    </w:p>
    <w:p>
      <w:pPr>
        <w:spacing w:before="156" w:beforeLines="50" w:after="156" w:afterLines="50"/>
        <w:ind w:firstLine="560" w:firstLineChars="200"/>
        <w:rPr>
          <w:rFonts w:ascii="仿宋" w:hAnsi="仿宋" w:eastAsia="仿宋"/>
          <w:sz w:val="28"/>
        </w:rPr>
      </w:pPr>
      <w:r>
        <w:rPr>
          <w:rFonts w:hint="eastAsia" w:ascii="仿宋" w:hAnsi="仿宋" w:eastAsia="仿宋"/>
          <w:sz w:val="28"/>
        </w:rPr>
        <w:t>本月无分红派息事项。</w:t>
      </w:r>
    </w:p>
    <w:p>
      <w:pPr>
        <w:spacing w:before="156" w:beforeLines="50" w:after="156" w:afterLines="50"/>
        <w:ind w:firstLine="560" w:firstLineChars="200"/>
        <w:rPr>
          <w:rFonts w:ascii="仿宋" w:hAnsi="仿宋" w:eastAsia="仿宋"/>
          <w:sz w:val="28"/>
        </w:rPr>
      </w:pPr>
      <w:r>
        <w:rPr>
          <w:rFonts w:ascii="仿宋" w:hAnsi="仿宋" w:eastAsia="仿宋"/>
          <w:sz w:val="28"/>
        </w:rPr>
        <w:t>本月辖区内披露业绩预告/快报</w:t>
      </w:r>
      <w:r>
        <w:rPr>
          <w:rFonts w:hint="eastAsia" w:ascii="仿宋" w:hAnsi="仿宋" w:eastAsia="仿宋"/>
          <w:sz w:val="28"/>
        </w:rPr>
        <w:t>的上市公司共25</w:t>
      </w:r>
      <w:r>
        <w:rPr>
          <w:rFonts w:ascii="仿宋" w:hAnsi="仿宋" w:eastAsia="仿宋"/>
          <w:sz w:val="28"/>
        </w:rPr>
        <w:t>家，</w:t>
      </w:r>
      <w:r>
        <w:rPr>
          <w:rFonts w:hint="eastAsia" w:ascii="仿宋" w:hAnsi="仿宋" w:eastAsia="仿宋"/>
          <w:sz w:val="28"/>
        </w:rPr>
        <w:t>均业绩预盈。</w:t>
      </w:r>
    </w:p>
    <w:p>
      <w:pPr>
        <w:spacing w:before="156" w:beforeLines="50" w:after="156" w:afterLines="50"/>
        <w:jc w:val="center"/>
        <w:rPr>
          <w:rFonts w:ascii="仿宋" w:hAnsi="仿宋" w:eastAsia="仿宋"/>
          <w:b/>
          <w:sz w:val="24"/>
        </w:rPr>
      </w:pPr>
      <w:r>
        <w:rPr>
          <w:rFonts w:ascii="仿宋" w:hAnsi="仿宋" w:eastAsia="仿宋"/>
          <w:b/>
          <w:sz w:val="24"/>
        </w:rPr>
        <w:t>表8　业绩预告/快报事项</w:t>
      </w:r>
    </w:p>
    <w:tbl>
      <w:tblPr>
        <w:tblStyle w:val="10"/>
        <w:tblW w:w="50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307"/>
        <w:gridCol w:w="1194"/>
        <w:gridCol w:w="1245"/>
        <w:gridCol w:w="1132"/>
        <w:gridCol w:w="2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tcPr>
          <w:p>
            <w:pPr>
              <w:widowControl/>
              <w:jc w:val="center"/>
              <w:rPr>
                <w:rFonts w:ascii="仿宋" w:hAnsi="仿宋" w:eastAsia="仿宋"/>
                <w:kern w:val="0"/>
                <w:szCs w:val="21"/>
              </w:rPr>
            </w:pPr>
            <w:r>
              <w:rPr>
                <w:rFonts w:hint="eastAsia" w:ascii="仿宋" w:hAnsi="仿宋" w:eastAsia="仿宋" w:cs="宋体"/>
                <w:b/>
                <w:color w:val="000000"/>
                <w:kern w:val="0"/>
                <w:szCs w:val="21"/>
              </w:rPr>
              <w:t>序号</w:t>
            </w:r>
          </w:p>
        </w:tc>
        <w:tc>
          <w:tcPr>
            <w:tcW w:w="761" w:type="pct"/>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披露日期</w:t>
            </w:r>
          </w:p>
        </w:tc>
        <w:tc>
          <w:tcPr>
            <w:tcW w:w="695" w:type="pct"/>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证券代码</w:t>
            </w:r>
          </w:p>
        </w:tc>
        <w:tc>
          <w:tcPr>
            <w:tcW w:w="725" w:type="pct"/>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证券名称</w:t>
            </w:r>
          </w:p>
        </w:tc>
        <w:tc>
          <w:tcPr>
            <w:tcW w:w="659" w:type="pct"/>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事件类型</w:t>
            </w:r>
          </w:p>
        </w:tc>
        <w:tc>
          <w:tcPr>
            <w:tcW w:w="1736" w:type="pct"/>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事件摘要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2023-02-28</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834415.BJ</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恒拓开源</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业绩快报</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公司已于2023-02-28披露2022年年报业绩快报：营业总收入1.8亿元，同比去年-8.05%，净利润为846.03万元，同比去年-62.69%，基本EPS为0.06元，加权平均ROE为1.65%。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2023-02-28</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838402.BJ</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硅烷科技</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业绩快报</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公司已于2023-02-28披露2022年年报业绩快报：营业总收入9.53亿元，同比去年32.16%，净利润为1.89亿元，同比去年149.64%，基本EPS为0.74元，加权平均ROE为21.32%。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2023-02-28</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838971.BJ</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天马新材</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业绩快报</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公司已于2023-02-28披露2022年年报业绩快报：营业总收入1.86亿元，同比去年-10.57%，净利润为3563.5万元，同比去年-34.31%，基本EPS为0.76元，加权平均ROE为17.13%。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4</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2023-02-27</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300109.SZ</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新开源</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业绩快报</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公司已于2023-02-27披露2022年年报业绩快报：营业总收入13.4亿元，同比去年9.79%，净利润为3.12亿元，同比去年50.46%，基本EPS为0.96元，加权平均ROE为9.92%。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5</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2023-02-27</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300481.SZ</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濮阳惠成</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业绩快报</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公司已于2023-02-27披露2022年年报业绩快报：营业总收入15.97亿元，同比去年14.62%，净利润为4.18亿元，同比去年65.63%，基本EPS为1.42元，加权平均ROE为19.56%。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2023-02-25</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002536.SZ</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飞龙股份</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业绩快报</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公司已于2023-02-25披露2022年年报业绩快报：营业总收入32.58亿元，同比去年4.57%，净利润为8551.59万元，同比去年-39.75%，基本EPS为0.17元，加权平均ROE为3.75%。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7</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2023-02-25</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688119.SH</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中钢洛耐</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业绩快报</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公司已于2023-02-25披露2022年年报业绩快报：营业总收入26.91亿元，同比去年1.37%，净利润为2.33亿元，同比去年3.68%，基本EPS为0.23元，加权平均ROE为9.38%。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8</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2023-02-25</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835207.BJ</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众诚科技</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业绩快报</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公司已于2023-02-25披露2022年年报业绩快报：营业总收入3.77亿元，同比去年-26.75%，净利润为1980.42万元，同比去年-53.78%，基本EPS为0.25元，加权平均ROE为7.68%。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9</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2023-02-25</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839725.BJ</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惠丰钻石</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业绩快报</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公司已于2023-02-25披露2022年年报业绩快报：营业总收入4.31亿元，同比去年96.71%，净利润为7357.12万元，同比去年31.35%，基本EPS为0.95元，加权平均ROE为19.44%。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10</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2023-02-24</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831087.BJ</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秋乐种业</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业绩快报</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公司已于2023-02-24披露2022年年报业绩快报：营业总收入4.38亿元，同比去年29.26%，净利润为6112.52万元，同比去年52.53%，基本EPS为0.45元，加权平均ROE为21.2%。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11</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2023-02-24</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832225.BJ</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利通科技</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业绩快报</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公司已于2023-02-24披露2022年年报业绩快报：营业总收入3.75亿元，同比去年13.05%，净利润为8316.52万元，同比去年175.92%，基本EPS为0.79元，加权平均ROE为18.98%。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12</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2023-02-23</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834407.BJ</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驰诚股份</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业绩快报</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公司已于2023-02-23披露2022年年报业绩快报：营业总收入1.79亿元，同比去年19.86%，净利润为2721.63万元，同比去年-7.92%， 基本EPS为0.5元，加权平均ROE为15.32%。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13</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2023-02-23</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834415.BJ</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恒拓开源</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第1次2022年年报业绩预告，公司业绩预减，预测业绩：净利润约750万元~900万元,下降60.31%~66.92%。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14</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2023-02-22</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833580.BJ</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科创新材</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业绩快报</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公司已于2023-02-22披露2022年年报业绩快报：营业总收入1.08亿元，同比去年-11.06%，净利润为1393.44万元，同比去年-47.42%，基本EPS为0.18元，加权平均ROE为4.9%。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15</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2023-02-18</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688313.SH</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仕佳光子</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业绩快报</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公司已于2023-02-18披露2022年年报业绩快报：营业总收入9.03亿元，同比去年10.5%，净利润为6616.68万元，同比去年31.9%，基本EPS为0.14元，加权平均ROE为5.47%。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16</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2023-02-16</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833454.BJ</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同心传动</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业绩快报</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公司已于2023-02-16披露2022年年报业绩快报：营业总收入1.62亿元，同比去年22.42%，净利润为1886.1万元，同比去年-20.78%，基本EPS为0.18元，加权平均ROE为5.97%。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17</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2023-02-15</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688357.SH</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建龙微纳</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业绩快报</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公司已于2023-02-15披露2022年年报业绩快报：营业总收入8.53亿元，同比去年-2.76%，净利润为1.97亿元，同比去年-28.63%， 基本EPS为3.33元，加权平均ROE为13.79%。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18</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2023-02-11</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688626.SH</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翔宇医疗</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业绩快报</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公司已于2023-02-11披露2022年年报业绩快报：营业总收入4.89亿元，同比去年-6.68%，净利润为1.21亿元，同比去年-39.98%，基本EPS为0.76元，加权平均ROE为6.32%。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19</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2023-02-09</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000719.SZ</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中原传媒</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业绩快报</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公司已于2023-02-09披露2022年年报业绩快报：营业总收入96.32亿元，同比去年4.01%，净利润为10.15亿元，同比去年4.06%，基本EPS为0.99元，加权平均ROE为10.57%。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2023-02-09</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688517.SH</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金冠电气</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业绩快报</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公司已于2023-02-09披露2022年年报业绩快报：营业总收入6.05亿元，同比去年13.8%，净利润为8076.22万元，同比去年16.8%，基本EPS为0.59元，加权平均ROE为11.22%。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21</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2023-02-08</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839725.BJ</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惠丰钻石</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第1次2022年年报业绩预告，公司业绩略增，预测业绩：净利润约7200.00万元~7800.00万元,增长28.54%~39.26%。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22</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2023-02-04</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300259.SZ</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新天科技</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第1次2022年年报业绩预告，公司业绩略减，预测业绩：净利润约22736.98万元~28937.98万元,变动幅度为:-45.0%~-30.0%。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23</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2023-02-03</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002179.SZ</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中航光电</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业绩快报</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公司已于2023-02-03披露2022年年报业绩快报：营业总收入158.39亿元，同比去年23.1%，净利润为27.24亿元，同比去年36.81%，基本EPS为1.73元，加权平均ROE为16.8%。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24</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2023-02-03</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831087.BJ</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秋乐种业</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第2次2022年年报业绩预告，公司业绩预增，预测业绩：净利润约5800万元~6300万元,增长44.73%~57.21%。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25</w:t>
            </w:r>
          </w:p>
        </w:tc>
        <w:tc>
          <w:tcPr>
            <w:tcW w:w="761"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2023-02-01</w:t>
            </w:r>
          </w:p>
        </w:tc>
        <w:tc>
          <w:tcPr>
            <w:tcW w:w="69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600876.SH</w:t>
            </w:r>
          </w:p>
        </w:tc>
        <w:tc>
          <w:tcPr>
            <w:tcW w:w="725"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洛阳玻璃</w:t>
            </w:r>
          </w:p>
        </w:tc>
        <w:tc>
          <w:tcPr>
            <w:tcW w:w="659" w:type="pct"/>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1736" w:type="pct"/>
            <w:vAlign w:val="center"/>
          </w:tcPr>
          <w:p>
            <w:pPr>
              <w:rPr>
                <w:rFonts w:ascii="仿宋" w:hAnsi="仿宋" w:eastAsia="仿宋"/>
                <w:color w:val="000000"/>
                <w:kern w:val="0"/>
                <w:szCs w:val="21"/>
              </w:rPr>
            </w:pPr>
            <w:r>
              <w:rPr>
                <w:rFonts w:hint="eastAsia" w:ascii="仿宋" w:hAnsi="仿宋" w:eastAsia="仿宋"/>
                <w:color w:val="000000"/>
                <w:kern w:val="0"/>
                <w:szCs w:val="21"/>
              </w:rPr>
              <w:t>第1次2022年年报业绩预告，公司业绩预增，预测业绩：净利润约38300.0000万元~41000.0000万元,增加50%~60%。</w:t>
            </w:r>
          </w:p>
        </w:tc>
      </w:tr>
    </w:tbl>
    <w:p>
      <w:pPr>
        <w:spacing w:after="120"/>
        <w:ind w:firstLine="562" w:firstLineChars="200"/>
        <w:rPr>
          <w:rFonts w:ascii="仿宋" w:hAnsi="仿宋" w:eastAsia="仿宋"/>
          <w:b/>
          <w:sz w:val="28"/>
          <w:szCs w:val="28"/>
        </w:rPr>
      </w:pPr>
      <w:r>
        <w:rPr>
          <w:rFonts w:ascii="仿宋" w:hAnsi="仿宋" w:eastAsia="仿宋"/>
          <w:b/>
          <w:sz w:val="28"/>
          <w:szCs w:val="28"/>
        </w:rPr>
        <w:t>4.增持与减持</w:t>
      </w:r>
    </w:p>
    <w:p>
      <w:pPr>
        <w:spacing w:before="156" w:beforeLines="50" w:after="156" w:afterLines="50"/>
        <w:jc w:val="center"/>
        <w:rPr>
          <w:rFonts w:ascii="仿宋" w:hAnsi="仿宋" w:eastAsia="仿宋"/>
          <w:b/>
          <w:sz w:val="24"/>
          <w:szCs w:val="30"/>
        </w:rPr>
      </w:pPr>
      <w:r>
        <w:rPr>
          <w:rFonts w:ascii="仿宋" w:hAnsi="仿宋" w:eastAsia="仿宋"/>
          <w:b/>
          <w:sz w:val="24"/>
          <w:szCs w:val="30"/>
        </w:rPr>
        <w:t>表9　股东增/减持公司股票事项</w:t>
      </w:r>
    </w:p>
    <w:tbl>
      <w:tblPr>
        <w:tblStyle w:val="9"/>
        <w:tblW w:w="5038" w:type="pct"/>
        <w:jc w:val="center"/>
        <w:tblLayout w:type="autofit"/>
        <w:tblCellMar>
          <w:top w:w="0" w:type="dxa"/>
          <w:left w:w="108" w:type="dxa"/>
          <w:bottom w:w="0" w:type="dxa"/>
          <w:right w:w="108" w:type="dxa"/>
        </w:tblCellMar>
      </w:tblPr>
      <w:tblGrid>
        <w:gridCol w:w="773"/>
        <w:gridCol w:w="1448"/>
        <w:gridCol w:w="1244"/>
        <w:gridCol w:w="1101"/>
        <w:gridCol w:w="1187"/>
        <w:gridCol w:w="2834"/>
      </w:tblGrid>
      <w:tr>
        <w:tblPrEx>
          <w:tblCellMar>
            <w:top w:w="0" w:type="dxa"/>
            <w:left w:w="108" w:type="dxa"/>
            <w:bottom w:w="0" w:type="dxa"/>
            <w:right w:w="108" w:type="dxa"/>
          </w:tblCellMar>
        </w:tblPrEx>
        <w:trPr>
          <w:trHeight w:val="270" w:hRule="atLeast"/>
          <w:jc w:val="center"/>
        </w:trPr>
        <w:tc>
          <w:tcPr>
            <w:tcW w:w="450" w:type="pct"/>
            <w:tcBorders>
              <w:top w:val="single" w:color="auto" w:sz="4" w:space="0"/>
              <w:left w:val="single" w:color="auto" w:sz="4" w:space="0"/>
              <w:bottom w:val="single" w:color="auto" w:sz="4" w:space="0"/>
              <w:right w:val="single" w:color="auto" w:sz="4" w:space="0"/>
            </w:tcBorders>
          </w:tcPr>
          <w:p>
            <w:pPr>
              <w:jc w:val="center"/>
              <w:rPr>
                <w:rFonts w:ascii="仿宋" w:hAnsi="仿宋" w:eastAsia="仿宋"/>
                <w:b/>
                <w:szCs w:val="21"/>
              </w:rPr>
            </w:pPr>
            <w:r>
              <w:rPr>
                <w:rFonts w:hint="eastAsia" w:ascii="仿宋" w:hAnsi="仿宋" w:eastAsia="仿宋"/>
                <w:b/>
                <w:szCs w:val="21"/>
              </w:rPr>
              <w:t>序号</w:t>
            </w:r>
          </w:p>
        </w:tc>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发生日期</w:t>
            </w:r>
          </w:p>
        </w:tc>
        <w:tc>
          <w:tcPr>
            <w:tcW w:w="72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64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69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事件类型</w:t>
            </w:r>
          </w:p>
        </w:tc>
        <w:tc>
          <w:tcPr>
            <w:tcW w:w="1650"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事件摘要</w:t>
            </w:r>
          </w:p>
        </w:tc>
      </w:tr>
      <w:tr>
        <w:tblPrEx>
          <w:tblCellMar>
            <w:top w:w="0" w:type="dxa"/>
            <w:left w:w="108" w:type="dxa"/>
            <w:bottom w:w="0" w:type="dxa"/>
            <w:right w:w="108" w:type="dxa"/>
          </w:tblCellMar>
        </w:tblPrEx>
        <w:trPr>
          <w:trHeight w:val="27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2023-02-20</w:t>
            </w:r>
          </w:p>
        </w:tc>
        <w:tc>
          <w:tcPr>
            <w:tcW w:w="72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000949.SZ</w:t>
            </w:r>
          </w:p>
        </w:tc>
        <w:tc>
          <w:tcPr>
            <w:tcW w:w="64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新乡化纤</w:t>
            </w:r>
          </w:p>
        </w:tc>
        <w:tc>
          <w:tcPr>
            <w:tcW w:w="69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股东增持股票</w:t>
            </w:r>
          </w:p>
        </w:tc>
        <w:tc>
          <w:tcPr>
            <w:tcW w:w="1650"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2023-02-17至2023-02-20，中原资产管理有限公司增持2646.12万股公司股份：其中通过大宗交易系统增持2646.12万股公司股份。截止2023-02-24，持有股份数量为1.77亿股流通股份，占流通股份总数比例为12.63%。</w:t>
            </w:r>
          </w:p>
        </w:tc>
      </w:tr>
      <w:tr>
        <w:tblPrEx>
          <w:tblCellMar>
            <w:top w:w="0" w:type="dxa"/>
            <w:left w:w="108" w:type="dxa"/>
            <w:bottom w:w="0" w:type="dxa"/>
            <w:right w:w="108" w:type="dxa"/>
          </w:tblCellMar>
        </w:tblPrEx>
        <w:trPr>
          <w:trHeight w:val="27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w:t>
            </w:r>
          </w:p>
        </w:tc>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2023-02-14</w:t>
            </w:r>
          </w:p>
        </w:tc>
        <w:tc>
          <w:tcPr>
            <w:tcW w:w="72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000949.SZ</w:t>
            </w:r>
          </w:p>
        </w:tc>
        <w:tc>
          <w:tcPr>
            <w:tcW w:w="64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新乡化纤</w:t>
            </w:r>
          </w:p>
        </w:tc>
        <w:tc>
          <w:tcPr>
            <w:tcW w:w="69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股东增持股票</w:t>
            </w:r>
          </w:p>
        </w:tc>
        <w:tc>
          <w:tcPr>
            <w:tcW w:w="1650"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2023-02-13至2023-02-14，中原资产管理有限公司增持2650.85万股公司股份：其中通过大宗交易系统增持2650.85万股公司股份。截止2023-02-15，持有股份数量为1.37亿股流通股份，占流通股份总数比例为9.77%。</w:t>
            </w:r>
          </w:p>
        </w:tc>
      </w:tr>
      <w:tr>
        <w:tblPrEx>
          <w:tblCellMar>
            <w:top w:w="0" w:type="dxa"/>
            <w:left w:w="108" w:type="dxa"/>
            <w:bottom w:w="0" w:type="dxa"/>
            <w:right w:w="108" w:type="dxa"/>
          </w:tblCellMar>
        </w:tblPrEx>
        <w:trPr>
          <w:trHeight w:val="27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3</w:t>
            </w:r>
          </w:p>
        </w:tc>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2023-02-14</w:t>
            </w:r>
          </w:p>
        </w:tc>
        <w:tc>
          <w:tcPr>
            <w:tcW w:w="72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002358.SZ</w:t>
            </w:r>
          </w:p>
        </w:tc>
        <w:tc>
          <w:tcPr>
            <w:tcW w:w="64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ST森源</w:t>
            </w:r>
          </w:p>
        </w:tc>
        <w:tc>
          <w:tcPr>
            <w:tcW w:w="69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股东增持股票</w:t>
            </w:r>
          </w:p>
        </w:tc>
        <w:tc>
          <w:tcPr>
            <w:tcW w:w="1650"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近日，公司收到宏森融源出具的《关于增持进展的告知函》，增持计划实施期限已过半，增持期间内，宏森融源通过司法拍卖方式竞得公司股份74,017,400股，占公司总股本的7.96%。</w:t>
            </w:r>
          </w:p>
        </w:tc>
      </w:tr>
      <w:tr>
        <w:tblPrEx>
          <w:tblCellMar>
            <w:top w:w="0" w:type="dxa"/>
            <w:left w:w="108" w:type="dxa"/>
            <w:bottom w:w="0" w:type="dxa"/>
            <w:right w:w="108" w:type="dxa"/>
          </w:tblCellMar>
        </w:tblPrEx>
        <w:trPr>
          <w:trHeight w:val="27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4</w:t>
            </w:r>
          </w:p>
        </w:tc>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2023-02-07</w:t>
            </w:r>
          </w:p>
        </w:tc>
        <w:tc>
          <w:tcPr>
            <w:tcW w:w="72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600810.SH</w:t>
            </w:r>
          </w:p>
        </w:tc>
        <w:tc>
          <w:tcPr>
            <w:tcW w:w="64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神马股份</w:t>
            </w:r>
          </w:p>
        </w:tc>
        <w:tc>
          <w:tcPr>
            <w:tcW w:w="69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股东增持股票</w:t>
            </w:r>
          </w:p>
        </w:tc>
        <w:tc>
          <w:tcPr>
            <w:tcW w:w="1650"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2022-11-23至2023-02-07，中国平煤神马控股集团有限公司增持1044.42万股公司股份。</w:t>
            </w:r>
          </w:p>
        </w:tc>
      </w:tr>
      <w:tr>
        <w:tblPrEx>
          <w:tblCellMar>
            <w:top w:w="0" w:type="dxa"/>
            <w:left w:w="108" w:type="dxa"/>
            <w:bottom w:w="0" w:type="dxa"/>
            <w:right w:w="108" w:type="dxa"/>
          </w:tblCellMar>
        </w:tblPrEx>
        <w:trPr>
          <w:trHeight w:val="27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5</w:t>
            </w:r>
          </w:p>
        </w:tc>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2023-02-07</w:t>
            </w:r>
          </w:p>
        </w:tc>
        <w:tc>
          <w:tcPr>
            <w:tcW w:w="72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600810.SH</w:t>
            </w:r>
          </w:p>
        </w:tc>
        <w:tc>
          <w:tcPr>
            <w:tcW w:w="64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神马股份</w:t>
            </w:r>
          </w:p>
        </w:tc>
        <w:tc>
          <w:tcPr>
            <w:tcW w:w="69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股东增持股票</w:t>
            </w:r>
          </w:p>
        </w:tc>
        <w:tc>
          <w:tcPr>
            <w:tcW w:w="1650"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中国平煤神马集团根据前期已披露的增持计划，于2022年11月23日至2023年2月7日通过上海证券交易所交易系统以集中竞价方式累计增持本公司10,444,203股股份，已达到本公司总股本的1.00%。</w:t>
            </w:r>
          </w:p>
        </w:tc>
      </w:tr>
      <w:tr>
        <w:tblPrEx>
          <w:tblCellMar>
            <w:top w:w="0" w:type="dxa"/>
            <w:left w:w="108" w:type="dxa"/>
            <w:bottom w:w="0" w:type="dxa"/>
            <w:right w:w="108" w:type="dxa"/>
          </w:tblCellMar>
        </w:tblPrEx>
        <w:trPr>
          <w:trHeight w:val="27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6</w:t>
            </w:r>
          </w:p>
        </w:tc>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2023-02-24</w:t>
            </w:r>
          </w:p>
        </w:tc>
        <w:tc>
          <w:tcPr>
            <w:tcW w:w="72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301089.SZ</w:t>
            </w:r>
          </w:p>
        </w:tc>
        <w:tc>
          <w:tcPr>
            <w:tcW w:w="64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拓新药业</w:t>
            </w:r>
          </w:p>
        </w:tc>
        <w:tc>
          <w:tcPr>
            <w:tcW w:w="69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1650"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2022-12-20至2023-02-24，路可可作企业有限公司减持5.32万股公司股份，平均减持价格为70.75CNY。截止2023-02-27，持有股份数量为790.29万股，占流通股份总数比例为10.25%。</w:t>
            </w:r>
          </w:p>
        </w:tc>
      </w:tr>
      <w:tr>
        <w:tblPrEx>
          <w:tblCellMar>
            <w:top w:w="0" w:type="dxa"/>
            <w:left w:w="108" w:type="dxa"/>
            <w:bottom w:w="0" w:type="dxa"/>
            <w:right w:w="108" w:type="dxa"/>
          </w:tblCellMar>
        </w:tblPrEx>
        <w:trPr>
          <w:trHeight w:val="27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7</w:t>
            </w:r>
          </w:p>
        </w:tc>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2023-02-20</w:t>
            </w:r>
          </w:p>
        </w:tc>
        <w:tc>
          <w:tcPr>
            <w:tcW w:w="72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000949.SZ</w:t>
            </w:r>
          </w:p>
        </w:tc>
        <w:tc>
          <w:tcPr>
            <w:tcW w:w="64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新乡化纤</w:t>
            </w:r>
          </w:p>
        </w:tc>
        <w:tc>
          <w:tcPr>
            <w:tcW w:w="69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1650"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2023-02-17至2023-02-20，中原股权投资管理有限公司减持1346.12万股公司股份：其中通过大宗交易系统减持1346.12万股公司股份。截止2023-02-24，持有股份数量为538.45万股，占流通股份总数比例为0.38%。 2023-02-17至2023-02-20，嘉实资本嘉臻8号单一资产管理计划减持1300万股公司股份：其中通过大宗交易系统减持1300万股公司股份</w:t>
            </w:r>
          </w:p>
        </w:tc>
      </w:tr>
      <w:tr>
        <w:tblPrEx>
          <w:tblCellMar>
            <w:top w:w="0" w:type="dxa"/>
            <w:left w:w="108" w:type="dxa"/>
            <w:bottom w:w="0" w:type="dxa"/>
            <w:right w:w="108" w:type="dxa"/>
          </w:tblCellMar>
        </w:tblPrEx>
        <w:trPr>
          <w:trHeight w:val="27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8</w:t>
            </w:r>
          </w:p>
        </w:tc>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2023-02-20</w:t>
            </w:r>
          </w:p>
        </w:tc>
        <w:tc>
          <w:tcPr>
            <w:tcW w:w="72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002582.SZ</w:t>
            </w:r>
          </w:p>
        </w:tc>
        <w:tc>
          <w:tcPr>
            <w:tcW w:w="64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好想你</w:t>
            </w:r>
          </w:p>
        </w:tc>
        <w:tc>
          <w:tcPr>
            <w:tcW w:w="69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1650"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2023-01-03至2023-02-20，杭州浩丞实业有限公司减持36万股公司股份。截止2023-02-22，持有股份数量为2510.36万股，占流通股份总数比例为7.38%。</w:t>
            </w:r>
          </w:p>
        </w:tc>
      </w:tr>
      <w:tr>
        <w:tblPrEx>
          <w:tblCellMar>
            <w:top w:w="0" w:type="dxa"/>
            <w:left w:w="108" w:type="dxa"/>
            <w:bottom w:w="0" w:type="dxa"/>
            <w:right w:w="108" w:type="dxa"/>
          </w:tblCellMar>
        </w:tblPrEx>
        <w:trPr>
          <w:trHeight w:val="27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9</w:t>
            </w:r>
          </w:p>
        </w:tc>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2023-02-16</w:t>
            </w:r>
          </w:p>
        </w:tc>
        <w:tc>
          <w:tcPr>
            <w:tcW w:w="72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000949.SZ</w:t>
            </w:r>
          </w:p>
        </w:tc>
        <w:tc>
          <w:tcPr>
            <w:tcW w:w="64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新乡化纤</w:t>
            </w:r>
          </w:p>
        </w:tc>
        <w:tc>
          <w:tcPr>
            <w:tcW w:w="69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1650"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2023-02-15至2023-02-16，中原股权投资管理有限公司减持1370.02万股公司股份：其中通过大宗交易系统减持1370.02万股公司股份。截止2023-02-18，持有股份数量为1884.57万股，占流通股份总数比例为1.34%。</w:t>
            </w:r>
          </w:p>
        </w:tc>
      </w:tr>
      <w:tr>
        <w:tblPrEx>
          <w:tblCellMar>
            <w:top w:w="0" w:type="dxa"/>
            <w:left w:w="108" w:type="dxa"/>
            <w:bottom w:w="0" w:type="dxa"/>
            <w:right w:w="108" w:type="dxa"/>
          </w:tblCellMar>
        </w:tblPrEx>
        <w:trPr>
          <w:trHeight w:val="27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10</w:t>
            </w:r>
          </w:p>
        </w:tc>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2023-02-15</w:t>
            </w:r>
          </w:p>
        </w:tc>
        <w:tc>
          <w:tcPr>
            <w:tcW w:w="72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002857.SZ</w:t>
            </w:r>
          </w:p>
        </w:tc>
        <w:tc>
          <w:tcPr>
            <w:tcW w:w="64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三晖电气</w:t>
            </w:r>
          </w:p>
        </w:tc>
        <w:tc>
          <w:tcPr>
            <w:tcW w:w="69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1650"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2023-02-15，杨建国减持255.69万股公司股份：其中通过大宗交易系统减持255.69万股公司股份，平均减持价格为14.3CNY。</w:t>
            </w:r>
          </w:p>
        </w:tc>
      </w:tr>
      <w:tr>
        <w:tblPrEx>
          <w:tblCellMar>
            <w:top w:w="0" w:type="dxa"/>
            <w:left w:w="108" w:type="dxa"/>
            <w:bottom w:w="0" w:type="dxa"/>
            <w:right w:w="108" w:type="dxa"/>
          </w:tblCellMar>
        </w:tblPrEx>
        <w:trPr>
          <w:trHeight w:val="27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11</w:t>
            </w:r>
          </w:p>
        </w:tc>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2023-02-15</w:t>
            </w:r>
          </w:p>
        </w:tc>
        <w:tc>
          <w:tcPr>
            <w:tcW w:w="72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300263.SZ</w:t>
            </w:r>
          </w:p>
        </w:tc>
        <w:tc>
          <w:tcPr>
            <w:tcW w:w="64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隆华科技</w:t>
            </w:r>
          </w:p>
        </w:tc>
        <w:tc>
          <w:tcPr>
            <w:tcW w:w="69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1650"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2023-02-07至2023-02-15，通用技术集团投资管理有限公司减持2600万股公司股份，平均减持价格为9.1CNY。截止2023-02-15，持有股份数量为6060万股，占流通股份总数比例为7.85%。</w:t>
            </w:r>
          </w:p>
        </w:tc>
      </w:tr>
      <w:tr>
        <w:tblPrEx>
          <w:tblCellMar>
            <w:top w:w="0" w:type="dxa"/>
            <w:left w:w="108" w:type="dxa"/>
            <w:bottom w:w="0" w:type="dxa"/>
            <w:right w:w="108" w:type="dxa"/>
          </w:tblCellMar>
        </w:tblPrEx>
        <w:trPr>
          <w:trHeight w:val="27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12</w:t>
            </w:r>
          </w:p>
        </w:tc>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2023-02-14</w:t>
            </w:r>
          </w:p>
        </w:tc>
        <w:tc>
          <w:tcPr>
            <w:tcW w:w="72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002857.SZ</w:t>
            </w:r>
          </w:p>
        </w:tc>
        <w:tc>
          <w:tcPr>
            <w:tcW w:w="64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三晖电气</w:t>
            </w:r>
          </w:p>
        </w:tc>
        <w:tc>
          <w:tcPr>
            <w:tcW w:w="69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1650"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2023-02-14，金双寿减持255.69万股公司股份：其中通过大宗交易系统减持255.69万股公司股份，平均减持价格为14.41CNY。</w:t>
            </w:r>
          </w:p>
        </w:tc>
      </w:tr>
      <w:tr>
        <w:tblPrEx>
          <w:tblCellMar>
            <w:top w:w="0" w:type="dxa"/>
            <w:left w:w="108" w:type="dxa"/>
            <w:bottom w:w="0" w:type="dxa"/>
            <w:right w:w="108" w:type="dxa"/>
          </w:tblCellMar>
        </w:tblPrEx>
        <w:trPr>
          <w:trHeight w:val="27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13</w:t>
            </w:r>
          </w:p>
        </w:tc>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2023-02-14</w:t>
            </w:r>
          </w:p>
        </w:tc>
        <w:tc>
          <w:tcPr>
            <w:tcW w:w="72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000949.SZ</w:t>
            </w:r>
          </w:p>
        </w:tc>
        <w:tc>
          <w:tcPr>
            <w:tcW w:w="64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新乡化纤</w:t>
            </w:r>
          </w:p>
        </w:tc>
        <w:tc>
          <w:tcPr>
            <w:tcW w:w="69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1650"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2023-02-13至2023-02-14，中原股权投资管理有限公司减持2650.85万股公司股份：其中通过大宗交易系统减持2650.85万股公司股份。截止2023-02-15，持有股份数量为3254.58万股，占流通股份总数比例为2.32%。</w:t>
            </w:r>
          </w:p>
        </w:tc>
      </w:tr>
      <w:tr>
        <w:tblPrEx>
          <w:tblCellMar>
            <w:top w:w="0" w:type="dxa"/>
            <w:left w:w="108" w:type="dxa"/>
            <w:bottom w:w="0" w:type="dxa"/>
            <w:right w:w="108" w:type="dxa"/>
          </w:tblCellMar>
        </w:tblPrEx>
        <w:trPr>
          <w:trHeight w:val="27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14</w:t>
            </w:r>
          </w:p>
        </w:tc>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2023-02-09</w:t>
            </w:r>
          </w:p>
        </w:tc>
        <w:tc>
          <w:tcPr>
            <w:tcW w:w="72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300109.SZ</w:t>
            </w:r>
          </w:p>
        </w:tc>
        <w:tc>
          <w:tcPr>
            <w:tcW w:w="64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新开源</w:t>
            </w:r>
          </w:p>
        </w:tc>
        <w:tc>
          <w:tcPr>
            <w:tcW w:w="69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1650"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2023-02-09，王坚强减持83.02万股公司股份，平均减持价格为26.02CNY。截止2023-02-15，持有股份数量为284.8万股，占流通股份总数比例为1.09%。</w:t>
            </w:r>
          </w:p>
        </w:tc>
      </w:tr>
      <w:tr>
        <w:tblPrEx>
          <w:tblCellMar>
            <w:top w:w="0" w:type="dxa"/>
            <w:left w:w="108" w:type="dxa"/>
            <w:bottom w:w="0" w:type="dxa"/>
            <w:right w:w="108" w:type="dxa"/>
          </w:tblCellMar>
        </w:tblPrEx>
        <w:trPr>
          <w:trHeight w:val="27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15</w:t>
            </w:r>
          </w:p>
        </w:tc>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2023-02-08</w:t>
            </w:r>
          </w:p>
        </w:tc>
        <w:tc>
          <w:tcPr>
            <w:tcW w:w="72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300109.SZ</w:t>
            </w:r>
          </w:p>
        </w:tc>
        <w:tc>
          <w:tcPr>
            <w:tcW w:w="64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新开源</w:t>
            </w:r>
          </w:p>
        </w:tc>
        <w:tc>
          <w:tcPr>
            <w:tcW w:w="69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1650"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2023-02-08，王坚强减持116.18万股公司股份，平均减持价格为25.74CNY。截止2023-02-15，持有股份数量为367.82万股，占流通股份总数比例为1.41%。</w:t>
            </w:r>
          </w:p>
        </w:tc>
      </w:tr>
      <w:tr>
        <w:tblPrEx>
          <w:tblCellMar>
            <w:top w:w="0" w:type="dxa"/>
            <w:left w:w="108" w:type="dxa"/>
            <w:bottom w:w="0" w:type="dxa"/>
            <w:right w:w="108" w:type="dxa"/>
          </w:tblCellMar>
        </w:tblPrEx>
        <w:trPr>
          <w:trHeight w:val="27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16</w:t>
            </w:r>
          </w:p>
        </w:tc>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2023-02-08</w:t>
            </w:r>
          </w:p>
        </w:tc>
        <w:tc>
          <w:tcPr>
            <w:tcW w:w="72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300910.SZ</w:t>
            </w:r>
          </w:p>
        </w:tc>
        <w:tc>
          <w:tcPr>
            <w:tcW w:w="64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瑞丰新材</w:t>
            </w:r>
          </w:p>
        </w:tc>
        <w:tc>
          <w:tcPr>
            <w:tcW w:w="69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1650"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2022-11-30至2023-02-08，深圳市松禾国创新能股权投资基金合伙企业(有限合伙)减持53.89万股公司股份。2022-11-30至2023-02-08，苏州松禾成长二号创业投资中心(有限合伙)减持220.49万股公司股份。截止2023-02-08，持有股份数量为377.7万股，占流通股份总数比例为6.57%。</w:t>
            </w:r>
          </w:p>
        </w:tc>
      </w:tr>
      <w:tr>
        <w:tblPrEx>
          <w:tblCellMar>
            <w:top w:w="0" w:type="dxa"/>
            <w:left w:w="108" w:type="dxa"/>
            <w:bottom w:w="0" w:type="dxa"/>
            <w:right w:w="108" w:type="dxa"/>
          </w:tblCellMar>
        </w:tblPrEx>
        <w:trPr>
          <w:trHeight w:val="27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17</w:t>
            </w:r>
          </w:p>
        </w:tc>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2023-02-06</w:t>
            </w:r>
          </w:p>
        </w:tc>
        <w:tc>
          <w:tcPr>
            <w:tcW w:w="72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002560.SZ</w:t>
            </w:r>
          </w:p>
        </w:tc>
        <w:tc>
          <w:tcPr>
            <w:tcW w:w="64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通达股份</w:t>
            </w:r>
          </w:p>
        </w:tc>
        <w:tc>
          <w:tcPr>
            <w:tcW w:w="69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1650"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2023-02-06，史万福减持730.3万股公司股份：其中通过大宗交易系统减持719.7万股公司股份，平均减持价格为9.2751CNY。截止2023-02-08，持有股份数量为5942.95万股，占流通股份总数比例为13.17%。</w:t>
            </w:r>
          </w:p>
        </w:tc>
      </w:tr>
      <w:tr>
        <w:tblPrEx>
          <w:tblCellMar>
            <w:top w:w="0" w:type="dxa"/>
            <w:left w:w="108" w:type="dxa"/>
            <w:bottom w:w="0" w:type="dxa"/>
            <w:right w:w="108" w:type="dxa"/>
          </w:tblCellMar>
        </w:tblPrEx>
        <w:trPr>
          <w:trHeight w:val="27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18</w:t>
            </w:r>
          </w:p>
        </w:tc>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2023-02-03</w:t>
            </w:r>
          </w:p>
        </w:tc>
        <w:tc>
          <w:tcPr>
            <w:tcW w:w="724"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002560.SZ</w:t>
            </w:r>
          </w:p>
        </w:tc>
        <w:tc>
          <w:tcPr>
            <w:tcW w:w="64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通达股份</w:t>
            </w:r>
          </w:p>
        </w:tc>
        <w:tc>
          <w:tcPr>
            <w:tcW w:w="691"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1650"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2023-02-03，史万福减持518万股公司股份，平均减持价格为10.61CNY。截止2023-02-08，持有股份数量为6673.25万股，占流通股份总数比例为14.79%。</w:t>
            </w:r>
          </w:p>
        </w:tc>
      </w:tr>
    </w:tbl>
    <w:p>
      <w:pPr>
        <w:spacing w:after="156" w:afterLines="50"/>
        <w:ind w:firstLine="562" w:firstLineChars="200"/>
        <w:rPr>
          <w:rFonts w:ascii="仿宋" w:hAnsi="仿宋" w:eastAsia="仿宋"/>
          <w:b/>
          <w:sz w:val="28"/>
          <w:szCs w:val="28"/>
        </w:rPr>
      </w:pPr>
      <w:r>
        <w:rPr>
          <w:rFonts w:ascii="仿宋" w:hAnsi="仿宋" w:eastAsia="仿宋"/>
          <w:b/>
          <w:sz w:val="28"/>
          <w:szCs w:val="28"/>
        </w:rPr>
        <w:t>5.其他重大事项</w:t>
      </w:r>
    </w:p>
    <w:p>
      <w:pPr>
        <w:spacing w:before="156" w:beforeLines="50" w:after="156" w:afterLines="50"/>
        <w:jc w:val="center"/>
        <w:rPr>
          <w:rFonts w:ascii="仿宋" w:hAnsi="仿宋" w:eastAsia="仿宋"/>
          <w:b/>
          <w:sz w:val="24"/>
          <w:szCs w:val="30"/>
        </w:rPr>
      </w:pPr>
      <w:r>
        <w:rPr>
          <w:rFonts w:ascii="仿宋" w:hAnsi="仿宋" w:eastAsia="仿宋"/>
          <w:b/>
          <w:sz w:val="24"/>
          <w:szCs w:val="30"/>
        </w:rPr>
        <w:t>表10　2月董事长、董秘变动情况</w:t>
      </w:r>
    </w:p>
    <w:tbl>
      <w:tblPr>
        <w:tblStyle w:val="10"/>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3"/>
        <w:gridCol w:w="1417"/>
        <w:gridCol w:w="1281"/>
        <w:gridCol w:w="3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tcPr>
          <w:p>
            <w:pPr>
              <w:jc w:val="center"/>
              <w:rPr>
                <w:rFonts w:ascii="仿宋" w:hAnsi="仿宋" w:eastAsia="仿宋"/>
                <w:b/>
                <w:szCs w:val="21"/>
              </w:rPr>
            </w:pPr>
            <w:r>
              <w:rPr>
                <w:rFonts w:hint="eastAsia" w:ascii="仿宋" w:hAnsi="仿宋" w:eastAsia="仿宋"/>
                <w:b/>
                <w:szCs w:val="21"/>
              </w:rPr>
              <w:t>序号</w:t>
            </w:r>
          </w:p>
        </w:tc>
        <w:tc>
          <w:tcPr>
            <w:tcW w:w="1413" w:type="dxa"/>
          </w:tcPr>
          <w:p>
            <w:pPr>
              <w:jc w:val="center"/>
              <w:rPr>
                <w:rFonts w:ascii="仿宋" w:hAnsi="仿宋" w:eastAsia="仿宋"/>
                <w:b/>
                <w:szCs w:val="21"/>
              </w:rPr>
            </w:pPr>
            <w:r>
              <w:rPr>
                <w:rFonts w:hint="eastAsia" w:ascii="仿宋" w:hAnsi="仿宋" w:eastAsia="仿宋"/>
                <w:b/>
                <w:szCs w:val="21"/>
              </w:rPr>
              <w:t>披露日期</w:t>
            </w:r>
          </w:p>
        </w:tc>
        <w:tc>
          <w:tcPr>
            <w:tcW w:w="1417" w:type="dxa"/>
          </w:tcPr>
          <w:p>
            <w:pPr>
              <w:jc w:val="center"/>
              <w:rPr>
                <w:rFonts w:ascii="仿宋" w:hAnsi="仿宋" w:eastAsia="仿宋"/>
                <w:b/>
                <w:szCs w:val="21"/>
              </w:rPr>
            </w:pPr>
            <w:r>
              <w:rPr>
                <w:rFonts w:hint="eastAsia" w:ascii="仿宋" w:hAnsi="仿宋" w:eastAsia="仿宋"/>
                <w:b/>
                <w:szCs w:val="21"/>
              </w:rPr>
              <w:t>证券代码</w:t>
            </w:r>
          </w:p>
        </w:tc>
        <w:tc>
          <w:tcPr>
            <w:tcW w:w="1281" w:type="dxa"/>
          </w:tcPr>
          <w:p>
            <w:pPr>
              <w:jc w:val="center"/>
              <w:rPr>
                <w:rFonts w:ascii="仿宋" w:hAnsi="仿宋" w:eastAsia="仿宋"/>
                <w:b/>
                <w:szCs w:val="21"/>
              </w:rPr>
            </w:pPr>
            <w:r>
              <w:rPr>
                <w:rFonts w:hint="eastAsia" w:ascii="仿宋" w:hAnsi="仿宋" w:eastAsia="仿宋"/>
                <w:b/>
                <w:szCs w:val="21"/>
              </w:rPr>
              <w:t>证券名称</w:t>
            </w:r>
          </w:p>
        </w:tc>
        <w:tc>
          <w:tcPr>
            <w:tcW w:w="3539" w:type="dxa"/>
          </w:tcPr>
          <w:p>
            <w:pPr>
              <w:jc w:val="center"/>
              <w:rPr>
                <w:rFonts w:ascii="仿宋" w:hAnsi="仿宋" w:eastAsia="仿宋"/>
                <w:b/>
                <w:szCs w:val="21"/>
              </w:rPr>
            </w:pPr>
            <w:r>
              <w:rPr>
                <w:rFonts w:hint="eastAsia" w:ascii="仿宋" w:hAnsi="仿宋" w:eastAsia="仿宋"/>
                <w:b/>
                <w:szCs w:val="21"/>
              </w:rPr>
              <w:t>事件摘要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restart"/>
            <w:vAlign w:val="center"/>
          </w:tcPr>
          <w:p>
            <w:pPr>
              <w:jc w:val="center"/>
              <w:rPr>
                <w:rFonts w:ascii="仿宋" w:hAnsi="仿宋" w:eastAsia="仿宋"/>
                <w:szCs w:val="21"/>
              </w:rPr>
            </w:pPr>
            <w:r>
              <w:rPr>
                <w:rFonts w:hint="eastAsia" w:ascii="仿宋" w:hAnsi="仿宋" w:eastAsia="仿宋"/>
                <w:szCs w:val="21"/>
              </w:rPr>
              <w:t>1</w:t>
            </w:r>
          </w:p>
        </w:tc>
        <w:tc>
          <w:tcPr>
            <w:tcW w:w="1413" w:type="dxa"/>
            <w:vAlign w:val="center"/>
          </w:tcPr>
          <w:p>
            <w:pPr>
              <w:jc w:val="center"/>
              <w:rPr>
                <w:rFonts w:ascii="仿宋" w:hAnsi="仿宋" w:eastAsia="仿宋"/>
                <w:szCs w:val="21"/>
              </w:rPr>
            </w:pPr>
            <w:r>
              <w:rPr>
                <w:rFonts w:hint="eastAsia" w:ascii="仿宋" w:hAnsi="仿宋" w:eastAsia="仿宋"/>
                <w:szCs w:val="21"/>
              </w:rPr>
              <w:t>2023-02-27</w:t>
            </w:r>
          </w:p>
        </w:tc>
        <w:tc>
          <w:tcPr>
            <w:tcW w:w="1417" w:type="dxa"/>
            <w:vAlign w:val="center"/>
          </w:tcPr>
          <w:p>
            <w:pPr>
              <w:jc w:val="center"/>
              <w:rPr>
                <w:rFonts w:ascii="仿宋" w:hAnsi="仿宋" w:eastAsia="仿宋"/>
                <w:szCs w:val="21"/>
              </w:rPr>
            </w:pPr>
            <w:r>
              <w:rPr>
                <w:rFonts w:hint="eastAsia" w:ascii="仿宋" w:hAnsi="仿宋" w:eastAsia="仿宋"/>
                <w:szCs w:val="21"/>
              </w:rPr>
              <w:t>002046.SZ</w:t>
            </w:r>
          </w:p>
        </w:tc>
        <w:tc>
          <w:tcPr>
            <w:tcW w:w="1281" w:type="dxa"/>
            <w:vAlign w:val="center"/>
          </w:tcPr>
          <w:p>
            <w:pPr>
              <w:jc w:val="center"/>
              <w:rPr>
                <w:rFonts w:ascii="仿宋" w:hAnsi="仿宋" w:eastAsia="仿宋"/>
                <w:szCs w:val="21"/>
              </w:rPr>
            </w:pPr>
            <w:r>
              <w:rPr>
                <w:rFonts w:hint="eastAsia" w:ascii="仿宋" w:hAnsi="仿宋" w:eastAsia="仿宋"/>
                <w:szCs w:val="21"/>
              </w:rPr>
              <w:t>国机精工</w:t>
            </w:r>
          </w:p>
        </w:tc>
        <w:tc>
          <w:tcPr>
            <w:tcW w:w="3539" w:type="dxa"/>
            <w:vAlign w:val="center"/>
          </w:tcPr>
          <w:p>
            <w:pPr>
              <w:jc w:val="center"/>
              <w:rPr>
                <w:rFonts w:ascii="仿宋" w:hAnsi="仿宋" w:eastAsia="仿宋"/>
                <w:szCs w:val="21"/>
              </w:rPr>
            </w:pPr>
            <w:r>
              <w:rPr>
                <w:rFonts w:hint="eastAsia" w:ascii="仿宋" w:hAnsi="仿宋" w:eastAsia="仿宋"/>
                <w:szCs w:val="21"/>
              </w:rPr>
              <w:t>新聘董事长蒋蔚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continue"/>
            <w:vAlign w:val="center"/>
          </w:tcPr>
          <w:p>
            <w:pPr>
              <w:jc w:val="center"/>
              <w:rPr>
                <w:rFonts w:ascii="仿宋" w:hAnsi="仿宋" w:eastAsia="仿宋"/>
                <w:szCs w:val="21"/>
              </w:rPr>
            </w:pPr>
          </w:p>
        </w:tc>
        <w:tc>
          <w:tcPr>
            <w:tcW w:w="1413" w:type="dxa"/>
            <w:vAlign w:val="center"/>
          </w:tcPr>
          <w:p>
            <w:pPr>
              <w:jc w:val="center"/>
              <w:rPr>
                <w:rFonts w:ascii="仿宋" w:hAnsi="仿宋" w:eastAsia="仿宋"/>
                <w:szCs w:val="21"/>
              </w:rPr>
            </w:pPr>
            <w:r>
              <w:rPr>
                <w:rFonts w:hint="eastAsia" w:ascii="仿宋" w:hAnsi="仿宋" w:eastAsia="仿宋"/>
                <w:szCs w:val="21"/>
              </w:rPr>
              <w:t>2023-02-21</w:t>
            </w:r>
          </w:p>
        </w:tc>
        <w:tc>
          <w:tcPr>
            <w:tcW w:w="1417" w:type="dxa"/>
            <w:vAlign w:val="center"/>
          </w:tcPr>
          <w:p>
            <w:pPr>
              <w:jc w:val="center"/>
              <w:rPr>
                <w:rFonts w:ascii="仿宋" w:hAnsi="仿宋" w:eastAsia="仿宋"/>
                <w:szCs w:val="21"/>
              </w:rPr>
            </w:pPr>
            <w:r>
              <w:rPr>
                <w:rFonts w:hint="eastAsia" w:ascii="仿宋" w:hAnsi="仿宋" w:eastAsia="仿宋"/>
                <w:szCs w:val="21"/>
              </w:rPr>
              <w:t>002046.SZ</w:t>
            </w:r>
          </w:p>
        </w:tc>
        <w:tc>
          <w:tcPr>
            <w:tcW w:w="1281" w:type="dxa"/>
            <w:vAlign w:val="center"/>
          </w:tcPr>
          <w:p>
            <w:pPr>
              <w:jc w:val="center"/>
              <w:rPr>
                <w:rFonts w:ascii="仿宋" w:hAnsi="仿宋" w:eastAsia="仿宋"/>
                <w:szCs w:val="21"/>
              </w:rPr>
            </w:pPr>
            <w:r>
              <w:rPr>
                <w:rFonts w:hint="eastAsia" w:ascii="仿宋" w:hAnsi="仿宋" w:eastAsia="仿宋"/>
                <w:szCs w:val="21"/>
              </w:rPr>
              <w:t>国机精工</w:t>
            </w:r>
          </w:p>
        </w:tc>
        <w:tc>
          <w:tcPr>
            <w:tcW w:w="3539" w:type="dxa"/>
            <w:vAlign w:val="center"/>
          </w:tcPr>
          <w:p>
            <w:pPr>
              <w:jc w:val="center"/>
              <w:rPr>
                <w:rFonts w:ascii="仿宋" w:hAnsi="仿宋" w:eastAsia="仿宋"/>
                <w:szCs w:val="21"/>
              </w:rPr>
            </w:pPr>
            <w:r>
              <w:rPr>
                <w:rFonts w:hint="eastAsia" w:ascii="仿宋" w:hAnsi="仿宋" w:eastAsia="仿宋"/>
                <w:szCs w:val="21"/>
              </w:rPr>
              <w:t>董事长朱峰离任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1413" w:type="dxa"/>
            <w:vAlign w:val="center"/>
          </w:tcPr>
          <w:p>
            <w:pPr>
              <w:jc w:val="center"/>
              <w:rPr>
                <w:rFonts w:ascii="仿宋" w:hAnsi="仿宋" w:eastAsia="仿宋"/>
                <w:szCs w:val="21"/>
              </w:rPr>
            </w:pPr>
            <w:r>
              <w:rPr>
                <w:rFonts w:hint="eastAsia" w:ascii="仿宋" w:hAnsi="仿宋" w:eastAsia="仿宋"/>
                <w:szCs w:val="21"/>
              </w:rPr>
              <w:t>2023-02-15</w:t>
            </w:r>
          </w:p>
        </w:tc>
        <w:tc>
          <w:tcPr>
            <w:tcW w:w="1417" w:type="dxa"/>
            <w:vAlign w:val="center"/>
          </w:tcPr>
          <w:p>
            <w:pPr>
              <w:jc w:val="center"/>
              <w:rPr>
                <w:rFonts w:ascii="仿宋" w:hAnsi="仿宋" w:eastAsia="仿宋"/>
                <w:szCs w:val="21"/>
              </w:rPr>
            </w:pPr>
            <w:r>
              <w:rPr>
                <w:rFonts w:hint="eastAsia" w:ascii="仿宋" w:hAnsi="仿宋" w:eastAsia="仿宋"/>
                <w:szCs w:val="21"/>
              </w:rPr>
              <w:t>600569.SH</w:t>
            </w:r>
          </w:p>
        </w:tc>
        <w:tc>
          <w:tcPr>
            <w:tcW w:w="1281" w:type="dxa"/>
            <w:vAlign w:val="center"/>
          </w:tcPr>
          <w:p>
            <w:pPr>
              <w:jc w:val="center"/>
              <w:rPr>
                <w:rFonts w:ascii="仿宋" w:hAnsi="仿宋" w:eastAsia="仿宋"/>
                <w:szCs w:val="21"/>
              </w:rPr>
            </w:pPr>
            <w:r>
              <w:rPr>
                <w:rFonts w:hint="eastAsia" w:ascii="仿宋" w:hAnsi="仿宋" w:eastAsia="仿宋"/>
                <w:szCs w:val="21"/>
              </w:rPr>
              <w:t>安阳钢铁</w:t>
            </w:r>
          </w:p>
        </w:tc>
        <w:tc>
          <w:tcPr>
            <w:tcW w:w="3539" w:type="dxa"/>
            <w:vAlign w:val="center"/>
          </w:tcPr>
          <w:p>
            <w:pPr>
              <w:jc w:val="center"/>
              <w:rPr>
                <w:rFonts w:ascii="仿宋" w:hAnsi="仿宋" w:eastAsia="仿宋"/>
                <w:szCs w:val="21"/>
              </w:rPr>
            </w:pPr>
            <w:r>
              <w:rPr>
                <w:rFonts w:hint="eastAsia" w:ascii="仿宋" w:hAnsi="仿宋" w:eastAsia="仿宋"/>
                <w:szCs w:val="21"/>
              </w:rPr>
              <w:t>新聘董事长潘树启</w:t>
            </w:r>
          </w:p>
        </w:tc>
      </w:tr>
    </w:tbl>
    <w:p>
      <w:pPr>
        <w:spacing w:before="156" w:beforeLines="50" w:after="156" w:afterLines="50"/>
        <w:jc w:val="center"/>
        <w:rPr>
          <w:rFonts w:ascii="仿宋" w:hAnsi="仿宋" w:eastAsia="仿宋"/>
          <w:b/>
          <w:sz w:val="24"/>
          <w:szCs w:val="30"/>
        </w:rPr>
      </w:pPr>
      <w:r>
        <w:rPr>
          <w:rFonts w:hint="eastAsia" w:ascii="仿宋" w:hAnsi="仿宋" w:eastAsia="仿宋"/>
          <w:b/>
          <w:sz w:val="24"/>
          <w:szCs w:val="30"/>
        </w:rPr>
        <w:t>表11　重大项目情况表</w:t>
      </w:r>
    </w:p>
    <w:tbl>
      <w:tblPr>
        <w:tblStyle w:val="9"/>
        <w:tblW w:w="4998" w:type="pct"/>
        <w:jc w:val="center"/>
        <w:tblLayout w:type="autofit"/>
        <w:tblCellMar>
          <w:top w:w="0" w:type="dxa"/>
          <w:left w:w="108" w:type="dxa"/>
          <w:bottom w:w="0" w:type="dxa"/>
          <w:right w:w="108" w:type="dxa"/>
        </w:tblCellMar>
      </w:tblPr>
      <w:tblGrid>
        <w:gridCol w:w="694"/>
        <w:gridCol w:w="1161"/>
        <w:gridCol w:w="1114"/>
        <w:gridCol w:w="1114"/>
        <w:gridCol w:w="1394"/>
        <w:gridCol w:w="3042"/>
      </w:tblGrid>
      <w:tr>
        <w:tblPrEx>
          <w:tblCellMar>
            <w:top w:w="0" w:type="dxa"/>
            <w:left w:w="108" w:type="dxa"/>
            <w:bottom w:w="0" w:type="dxa"/>
            <w:right w:w="108" w:type="dxa"/>
          </w:tblCellMar>
        </w:tblPrEx>
        <w:trPr>
          <w:trHeight w:val="270" w:hRule="atLeast"/>
          <w:jc w:val="center"/>
        </w:trPr>
        <w:tc>
          <w:tcPr>
            <w:tcW w:w="409" w:type="pct"/>
            <w:tcBorders>
              <w:top w:val="single" w:color="auto" w:sz="4" w:space="0"/>
              <w:left w:val="single" w:color="auto" w:sz="4" w:space="0"/>
              <w:bottom w:val="single" w:color="auto" w:sz="4" w:space="0"/>
              <w:right w:val="single" w:color="auto" w:sz="4" w:space="0"/>
            </w:tcBorders>
          </w:tcPr>
          <w:p>
            <w:pPr>
              <w:jc w:val="center"/>
              <w:rPr>
                <w:rFonts w:ascii="仿宋" w:hAnsi="仿宋" w:eastAsia="仿宋"/>
                <w:b/>
                <w:szCs w:val="21"/>
              </w:rPr>
            </w:pPr>
            <w:r>
              <w:rPr>
                <w:rFonts w:hint="eastAsia" w:ascii="仿宋" w:hAnsi="仿宋" w:eastAsia="仿宋"/>
                <w:b/>
                <w:szCs w:val="21"/>
              </w:rPr>
              <w:t>序号</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655"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655"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事件类型</w:t>
            </w:r>
          </w:p>
        </w:tc>
        <w:tc>
          <w:tcPr>
            <w:tcW w:w="819"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披露日期</w:t>
            </w:r>
          </w:p>
        </w:tc>
        <w:tc>
          <w:tcPr>
            <w:tcW w:w="1786"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事件摘要</w:t>
            </w:r>
          </w:p>
        </w:tc>
      </w:tr>
      <w:tr>
        <w:tblPrEx>
          <w:tblCellMar>
            <w:top w:w="0" w:type="dxa"/>
            <w:left w:w="108" w:type="dxa"/>
            <w:bottom w:w="0" w:type="dxa"/>
            <w:right w:w="108" w:type="dxa"/>
          </w:tblCellMar>
        </w:tblPrEx>
        <w:trPr>
          <w:trHeight w:val="270" w:hRule="atLeast"/>
          <w:jc w:val="center"/>
        </w:trPr>
        <w:tc>
          <w:tcPr>
            <w:tcW w:w="40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002296.SZ</w:t>
            </w:r>
          </w:p>
        </w:tc>
        <w:tc>
          <w:tcPr>
            <w:tcW w:w="655"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辉煌科技</w:t>
            </w:r>
          </w:p>
        </w:tc>
        <w:tc>
          <w:tcPr>
            <w:tcW w:w="655"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签订重大合同</w:t>
            </w:r>
          </w:p>
        </w:tc>
        <w:tc>
          <w:tcPr>
            <w:tcW w:w="819"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2023-02-15</w:t>
            </w:r>
          </w:p>
        </w:tc>
        <w:tc>
          <w:tcPr>
            <w:tcW w:w="1786"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近日，公司收到与西安市轨道交通集团有限公司签订的“西安市地铁8号线、10号线一期、15号线一期工程综合监控系统集成采购项目3标段”合同，合同总金额为人民币75,720,228.00元。</w:t>
            </w:r>
          </w:p>
        </w:tc>
      </w:tr>
      <w:tr>
        <w:tblPrEx>
          <w:tblCellMar>
            <w:top w:w="0" w:type="dxa"/>
            <w:left w:w="108" w:type="dxa"/>
            <w:bottom w:w="0" w:type="dxa"/>
            <w:right w:w="108" w:type="dxa"/>
          </w:tblCellMar>
        </w:tblPrEx>
        <w:trPr>
          <w:trHeight w:val="270" w:hRule="atLeast"/>
          <w:jc w:val="center"/>
        </w:trPr>
        <w:tc>
          <w:tcPr>
            <w:tcW w:w="40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688517.SH</w:t>
            </w:r>
          </w:p>
        </w:tc>
        <w:tc>
          <w:tcPr>
            <w:tcW w:w="655"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金冠电气</w:t>
            </w:r>
          </w:p>
        </w:tc>
        <w:tc>
          <w:tcPr>
            <w:tcW w:w="655"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项目中标</w:t>
            </w:r>
          </w:p>
        </w:tc>
        <w:tc>
          <w:tcPr>
            <w:tcW w:w="819"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2023-02-07</w:t>
            </w:r>
          </w:p>
        </w:tc>
        <w:tc>
          <w:tcPr>
            <w:tcW w:w="1786" w:type="pct"/>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中国南方电网供应链统一服务平台发布南方电网公司2022年主网线路材料第二批框架招标项目及2022年配网设备第二批框架招标项目的中标候选人结果公示,金冠电气股份有限公司(以下简称“公司”)中标避雷器产品共4个标包,预计中标金额合计2,479万元。</w:t>
            </w:r>
          </w:p>
        </w:tc>
      </w:tr>
    </w:tbl>
    <w:p>
      <w:pPr>
        <w:spacing w:before="156" w:beforeLines="50" w:after="156" w:afterLines="50"/>
        <w:rPr>
          <w:rFonts w:ascii="楷体" w:hAnsi="楷体" w:eastAsia="楷体" w:cs="Calibri"/>
          <w:b/>
          <w:sz w:val="28"/>
        </w:rPr>
      </w:pPr>
      <w:r>
        <w:rPr>
          <w:rFonts w:hint="eastAsia" w:ascii="仿宋" w:hAnsi="仿宋" w:eastAsia="仿宋"/>
          <w:b/>
          <w:sz w:val="28"/>
        </w:rPr>
        <w:t>六、上市公司2月违规案例精选</w:t>
      </w:r>
    </w:p>
    <w:p>
      <w:pPr>
        <w:spacing w:line="360" w:lineRule="auto"/>
        <w:ind w:firstLine="562" w:firstLineChars="200"/>
        <w:rPr>
          <w:rFonts w:ascii="仿宋" w:hAnsi="仿宋" w:eastAsia="仿宋" w:cs="仿宋"/>
          <w:color w:val="000000"/>
          <w:sz w:val="28"/>
          <w:szCs w:val="28"/>
        </w:rPr>
      </w:pPr>
      <w:r>
        <w:rPr>
          <w:rFonts w:ascii="仿宋" w:hAnsi="仿宋" w:eastAsia="仿宋" w:cs="仿宋"/>
          <w:b/>
          <w:color w:val="000000"/>
          <w:sz w:val="28"/>
          <w:szCs w:val="28"/>
        </w:rPr>
        <w:t>1.</w:t>
      </w:r>
      <w:r>
        <w:rPr>
          <w:rFonts w:hint="eastAsia" w:ascii="仿宋" w:hAnsi="仿宋" w:eastAsia="仿宋" w:cs="仿宋"/>
          <w:b/>
          <w:color w:val="000000"/>
          <w:sz w:val="28"/>
          <w:szCs w:val="28"/>
        </w:rPr>
        <w:t>关联交易未审议披露，公司收到监管函</w:t>
      </w:r>
    </w:p>
    <w:p>
      <w:pPr>
        <w:spacing w:line="360" w:lineRule="auto"/>
        <w:ind w:firstLine="562" w:firstLineChars="200"/>
        <w:rPr>
          <w:rFonts w:ascii="仿宋" w:hAnsi="仿宋" w:eastAsia="仿宋" w:cs="仿宋"/>
          <w:b/>
          <w:color w:val="000000"/>
          <w:sz w:val="28"/>
          <w:szCs w:val="28"/>
        </w:rPr>
      </w:pPr>
      <w:r>
        <w:rPr>
          <w:rFonts w:ascii="仿宋" w:hAnsi="仿宋" w:eastAsia="仿宋" w:cs="仿宋"/>
          <w:b/>
          <w:color w:val="000000"/>
          <w:sz w:val="28"/>
          <w:szCs w:val="28"/>
        </w:rPr>
        <w:t>【案例简介】</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深圳证券交易所创业板某上市公司于2022年12月23日披露《关于注销有限合伙企业的公告》称，原计划与公司关联方共同注册A合伙企业，A合伙企业总出资额拟定为23,000万元，其中，上市公司拟以自有资金认缴出资额17,020万元，占最近一期经审计净资产的比例为14.12%。因经办人员疏忽，导致公司在未履行审议程序和信息披露义务的情况下，于2022年12月13日先行办理了A合伙企业的工商登记手续。截至公告日，由于未能就投资协议与相关方达成一致，上市公司决定终止该项交易并注销A合伙企业，上市公司尚未实缴出资。</w:t>
      </w:r>
    </w:p>
    <w:p>
      <w:pPr>
        <w:spacing w:line="360" w:lineRule="auto"/>
        <w:ind w:firstLine="562" w:firstLineChars="200"/>
        <w:rPr>
          <w:rFonts w:ascii="仿宋" w:hAnsi="仿宋" w:eastAsia="仿宋" w:cs="仿宋"/>
          <w:b/>
          <w:color w:val="000000"/>
          <w:sz w:val="28"/>
          <w:szCs w:val="28"/>
        </w:rPr>
      </w:pPr>
      <w:r>
        <w:rPr>
          <w:rFonts w:ascii="仿宋" w:hAnsi="仿宋" w:eastAsia="仿宋" w:cs="仿宋"/>
          <w:b/>
          <w:color w:val="000000"/>
          <w:sz w:val="28"/>
          <w:szCs w:val="28"/>
        </w:rPr>
        <w:t>【纪律处分及监管措施】</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深圳证券交易所认为，上述行为违反了《深圳证券交易所创业板股票上市规则(2020年12月修订)》第1.4条、第5.1.1条、第7.2.7条、第7.2.8条的规定，于2023年2月10日对上市公司下发了监管函。</w:t>
      </w:r>
    </w:p>
    <w:p>
      <w:pPr>
        <w:spacing w:line="360" w:lineRule="auto"/>
        <w:ind w:firstLine="562" w:firstLineChars="200"/>
        <w:rPr>
          <w:rFonts w:ascii="仿宋" w:hAnsi="仿宋" w:eastAsia="仿宋" w:cs="仿宋"/>
          <w:b/>
          <w:color w:val="000000"/>
          <w:sz w:val="28"/>
          <w:szCs w:val="28"/>
        </w:rPr>
      </w:pPr>
      <w:r>
        <w:rPr>
          <w:rFonts w:ascii="仿宋" w:hAnsi="仿宋" w:eastAsia="仿宋" w:cs="仿宋"/>
          <w:b/>
          <w:color w:val="000000"/>
          <w:sz w:val="28"/>
          <w:szCs w:val="28"/>
        </w:rPr>
        <w:t>【规则摘要】</w:t>
      </w:r>
    </w:p>
    <w:p>
      <w:pPr>
        <w:spacing w:line="360" w:lineRule="auto"/>
        <w:ind w:firstLine="562" w:firstLineChars="200"/>
        <w:rPr>
          <w:rFonts w:ascii="仿宋" w:hAnsi="仿宋" w:eastAsia="仿宋" w:cs="仿宋"/>
          <w:b/>
          <w:bCs/>
          <w:color w:val="000000"/>
          <w:sz w:val="28"/>
          <w:szCs w:val="28"/>
          <w:u w:val="single"/>
        </w:rPr>
      </w:pPr>
      <w:r>
        <w:rPr>
          <w:rFonts w:hint="eastAsia" w:ascii="仿宋" w:hAnsi="仿宋" w:eastAsia="仿宋" w:cs="仿宋"/>
          <w:b/>
          <w:bCs/>
          <w:color w:val="000000"/>
          <w:sz w:val="28"/>
          <w:szCs w:val="28"/>
          <w:u w:val="single"/>
        </w:rPr>
        <w:t>《深圳证券交易所创业板股票上市规则（2020年12月修订）》</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7.2.7　上市公司与关联人发生的交易（提供担保、提供财务资助除外）达到下列标准之一的，应当及时披露：</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（一）与关联自然人发生的成交金额超过30万元的交易；</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（二）与关联法人发生的成交金额超过300万元，且占公司最近一期经审计净资产绝对值0.5%以上的交易。</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7.2.8　上市公司与关联人发生的交易（提供担保除外）金额超过3000万元，且占公司最近一期经审计净资产绝对值5%以上的，应当提交股东大会审议，并参照本规则第7.1.10条的规定披露评估或者审计报告。</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与日常经营相关的关联交易可免于审计或者评估。</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关联交易虽未达到本条第一款规定的标准，但本所认为有必要的，公司应当按照第一款规定，披露审计或者评估报告。</w:t>
      </w:r>
    </w:p>
    <w:p>
      <w:pPr>
        <w:spacing w:line="360" w:lineRule="auto"/>
        <w:ind w:firstLine="562" w:firstLineChars="200"/>
        <w:rPr>
          <w:rFonts w:ascii="仿宋" w:hAnsi="仿宋" w:eastAsia="仿宋" w:cs="仿宋"/>
          <w:b/>
          <w:color w:val="000000"/>
          <w:sz w:val="28"/>
          <w:szCs w:val="28"/>
        </w:rPr>
      </w:pPr>
      <w:r>
        <w:rPr>
          <w:rFonts w:ascii="仿宋" w:hAnsi="仿宋" w:eastAsia="仿宋" w:cs="仿宋"/>
          <w:b/>
          <w:color w:val="000000"/>
          <w:sz w:val="28"/>
          <w:szCs w:val="28"/>
        </w:rPr>
        <w:t>【信公提示】</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上市公司发生关联交易，达到有关标准的，应当依照法规要求及时履行审议程序及披露义务。信公君提示，上市公司应建立合理的关联交易制度，明确关联方认定、关联交易程序等制度规范；此外，还可以在公司内部定期开展合规培训，持续加强相关人员的合规意识，避免出现因审议、披露不及时而受到监管处罚的情形。</w:t>
      </w:r>
    </w:p>
    <w:p>
      <w:pPr>
        <w:spacing w:line="360" w:lineRule="auto"/>
        <w:ind w:firstLine="560" w:firstLineChars="200"/>
        <w:rPr>
          <w:rFonts w:hint="eastAsia" w:ascii="仿宋" w:hAnsi="仿宋" w:eastAsia="仿宋" w:cs="仿宋"/>
          <w:color w:val="000000"/>
          <w:sz w:val="28"/>
          <w:szCs w:val="28"/>
        </w:rPr>
      </w:pP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2</w:t>
      </w:r>
      <w:r>
        <w:rPr>
          <w:rFonts w:ascii="仿宋" w:hAnsi="仿宋" w:eastAsia="仿宋" w:cs="仿宋"/>
          <w:b/>
          <w:color w:val="000000"/>
          <w:sz w:val="28"/>
          <w:szCs w:val="28"/>
        </w:rPr>
        <w:t>.</w:t>
      </w:r>
      <w:r>
        <w:rPr>
          <w:rFonts w:hint="eastAsia" w:ascii="仿宋" w:hAnsi="仿宋" w:eastAsia="仿宋" w:cs="仿宋"/>
          <w:b/>
          <w:color w:val="000000"/>
          <w:sz w:val="28"/>
          <w:szCs w:val="28"/>
        </w:rPr>
        <w:t>重大事项要及时披露进展</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【案例简介】</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上海证券交易所主板某上市公司于2022年2月16日公告称，公司中标某项目，预计中标金额138,994.4585万元。2022年12月22日，公司股价跌停，有市场传闻称公司前期中标合同发生调整。经监管督促，2022年12月23日公司披露公告称，鉴于项目建设不及预期，公司与开发商协商对原中标项目做出调整，调整后该项目签订的合同金额为46,496.915544万元，并延期至2023年交付，公司已于2022年12月6日签订相关合同。</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【纪律处分及监管措施】</w:t>
      </w:r>
      <w:r>
        <w:rPr>
          <w:rFonts w:hint="eastAsia" w:ascii="仿宋" w:hAnsi="仿宋" w:eastAsia="仿宋" w:cs="仿宋"/>
          <w:b/>
          <w:color w:val="000000"/>
          <w:sz w:val="28"/>
          <w:szCs w:val="28"/>
        </w:rPr>
        <w:tab/>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上海证券交易所认为，上市公司未及时披露中标项目金额重大调整等重要进展情况，影响了投资者的合理预期；上述行为违反了《上海证券交易所股票上市规则》第2.1.1条、第2.1.7条、第2.2.6条等有关规定，于2023年2月21日对上市公司及时任董事会秘书予以监管警示。</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【规则摘要】</w:t>
      </w:r>
    </w:p>
    <w:p>
      <w:pPr>
        <w:spacing w:line="360" w:lineRule="auto"/>
        <w:ind w:firstLine="562" w:firstLineChars="200"/>
        <w:rPr>
          <w:rFonts w:ascii="仿宋" w:hAnsi="仿宋" w:eastAsia="仿宋" w:cs="仿宋"/>
          <w:b/>
          <w:color w:val="000000"/>
          <w:sz w:val="28"/>
          <w:szCs w:val="28"/>
          <w:u w:val="single"/>
        </w:rPr>
      </w:pPr>
      <w:r>
        <w:rPr>
          <w:rFonts w:hint="eastAsia" w:ascii="仿宋" w:hAnsi="仿宋" w:eastAsia="仿宋" w:cs="仿宋"/>
          <w:b/>
          <w:color w:val="000000"/>
          <w:sz w:val="28"/>
          <w:szCs w:val="28"/>
          <w:u w:val="single"/>
        </w:rPr>
        <w:t>《上海证券交易所股票上市规则（2023年2月修订）》</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2.1.7上市公司及相关信息披露义务人应当在本规则规定的期限内披露重大信息，不得有意选择披露时点。</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2.2.6上市公司及相关信息披露义务人筹划重大事项，持续时间较长的，应当按规定分阶段披露进展情况，及时提示相关风险，不得仅以相关事项结果尚不确定为由不予披露。</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已披露的事项发生重大变化，可能对公司股票及其衍生品种交易价格产生较大影响的，公司及相关信息披露义务人应当及时披露进展公告。</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【信公提示】</w:t>
      </w:r>
    </w:p>
    <w:p>
      <w:pPr>
        <w:spacing w:line="360" w:lineRule="auto"/>
        <w:ind w:firstLine="560" w:firstLineChars="200"/>
        <w:rPr>
          <w:rFonts w:ascii="仿宋" w:hAnsi="仿宋" w:eastAsia="仿宋" w:cs="仿宋"/>
          <w:b/>
          <w:color w:val="000000"/>
          <w:sz w:val="28"/>
          <w:szCs w:val="28"/>
        </w:rPr>
      </w:pPr>
      <w:r>
        <w:rPr>
          <w:rFonts w:hint="eastAsia" w:ascii="仿宋" w:hAnsi="仿宋" w:eastAsia="仿宋" w:cs="仿宋"/>
          <w:color w:val="000000"/>
          <w:sz w:val="28"/>
          <w:szCs w:val="28"/>
        </w:rPr>
        <w:t>上市公司重大事项的进展情况，是投资者作出投资决策的重要依据；隐瞒相关进展、“报喜不报忧”的行为，可能损害投资者合法权益。在首次披露后，如相关事项后续出现进展或变化，可能对公司股票及其衍生品种交易价格产生较大影响的，应及时披露、充分提示风险。</w:t>
      </w:r>
    </w:p>
    <w:p>
      <w:pPr>
        <w:spacing w:line="360" w:lineRule="auto"/>
        <w:rPr>
          <w:rFonts w:ascii="仿宋" w:hAnsi="仿宋" w:eastAsia="仿宋" w:cs="仿宋"/>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dhMGVmMjU4ZjAwN2U3NzEwM2Q3ZDg1Y2FiMGI1ZmIifQ=="/>
    <w:docVar w:name="KSO_WPS_MARK_KEY" w:val="78769a08-0dc8-438d-8e9a-2637de51062d"/>
  </w:docVars>
  <w:rsids>
    <w:rsidRoot w:val="5CA456FA"/>
    <w:rsid w:val="00027B61"/>
    <w:rsid w:val="00055806"/>
    <w:rsid w:val="00074D92"/>
    <w:rsid w:val="00091ABF"/>
    <w:rsid w:val="000925A6"/>
    <w:rsid w:val="0009665A"/>
    <w:rsid w:val="000A67F1"/>
    <w:rsid w:val="000C5837"/>
    <w:rsid w:val="000D244B"/>
    <w:rsid w:val="000D2958"/>
    <w:rsid w:val="000F17CD"/>
    <w:rsid w:val="00113C20"/>
    <w:rsid w:val="001201C0"/>
    <w:rsid w:val="00134CA8"/>
    <w:rsid w:val="00135E58"/>
    <w:rsid w:val="00144A2B"/>
    <w:rsid w:val="001711F8"/>
    <w:rsid w:val="001733F4"/>
    <w:rsid w:val="001847E3"/>
    <w:rsid w:val="001C32EE"/>
    <w:rsid w:val="001C50C6"/>
    <w:rsid w:val="001E5072"/>
    <w:rsid w:val="001F1EDE"/>
    <w:rsid w:val="001F4D06"/>
    <w:rsid w:val="002071AC"/>
    <w:rsid w:val="002202DE"/>
    <w:rsid w:val="0023716C"/>
    <w:rsid w:val="00267BC5"/>
    <w:rsid w:val="002836A6"/>
    <w:rsid w:val="002860E7"/>
    <w:rsid w:val="00290F23"/>
    <w:rsid w:val="00297316"/>
    <w:rsid w:val="002B5AF4"/>
    <w:rsid w:val="002C52F1"/>
    <w:rsid w:val="002D2431"/>
    <w:rsid w:val="002D46AF"/>
    <w:rsid w:val="00300266"/>
    <w:rsid w:val="00331A91"/>
    <w:rsid w:val="003C4874"/>
    <w:rsid w:val="003D5EA3"/>
    <w:rsid w:val="004776BC"/>
    <w:rsid w:val="004937E5"/>
    <w:rsid w:val="004B00E5"/>
    <w:rsid w:val="004B0A46"/>
    <w:rsid w:val="004E478B"/>
    <w:rsid w:val="00502292"/>
    <w:rsid w:val="00547C26"/>
    <w:rsid w:val="00553805"/>
    <w:rsid w:val="00567A23"/>
    <w:rsid w:val="005F7EAF"/>
    <w:rsid w:val="0061175C"/>
    <w:rsid w:val="00631B20"/>
    <w:rsid w:val="00634DD8"/>
    <w:rsid w:val="00662752"/>
    <w:rsid w:val="00692BDF"/>
    <w:rsid w:val="006A2010"/>
    <w:rsid w:val="006A4A88"/>
    <w:rsid w:val="006B4BC7"/>
    <w:rsid w:val="006E4910"/>
    <w:rsid w:val="00702FC4"/>
    <w:rsid w:val="00717D4D"/>
    <w:rsid w:val="00724622"/>
    <w:rsid w:val="007702B8"/>
    <w:rsid w:val="0077380A"/>
    <w:rsid w:val="007A5E44"/>
    <w:rsid w:val="007F0773"/>
    <w:rsid w:val="0080237F"/>
    <w:rsid w:val="00826673"/>
    <w:rsid w:val="00832BA2"/>
    <w:rsid w:val="008D5A8B"/>
    <w:rsid w:val="008F4735"/>
    <w:rsid w:val="00903C76"/>
    <w:rsid w:val="00905FA6"/>
    <w:rsid w:val="0091307C"/>
    <w:rsid w:val="00917048"/>
    <w:rsid w:val="009233CE"/>
    <w:rsid w:val="0093672A"/>
    <w:rsid w:val="00942464"/>
    <w:rsid w:val="00947D35"/>
    <w:rsid w:val="00967ED2"/>
    <w:rsid w:val="009B4AF1"/>
    <w:rsid w:val="009E002F"/>
    <w:rsid w:val="009E393D"/>
    <w:rsid w:val="00A0048E"/>
    <w:rsid w:val="00A05CD4"/>
    <w:rsid w:val="00A114DB"/>
    <w:rsid w:val="00A2065C"/>
    <w:rsid w:val="00A25C9D"/>
    <w:rsid w:val="00A450DC"/>
    <w:rsid w:val="00AB7415"/>
    <w:rsid w:val="00AD0932"/>
    <w:rsid w:val="00AE2C15"/>
    <w:rsid w:val="00AE5641"/>
    <w:rsid w:val="00AF1881"/>
    <w:rsid w:val="00AF5A65"/>
    <w:rsid w:val="00B12211"/>
    <w:rsid w:val="00B150AF"/>
    <w:rsid w:val="00B170F0"/>
    <w:rsid w:val="00B22BAF"/>
    <w:rsid w:val="00B254BA"/>
    <w:rsid w:val="00B40A50"/>
    <w:rsid w:val="00BB6E5C"/>
    <w:rsid w:val="00BC71BE"/>
    <w:rsid w:val="00BF15A3"/>
    <w:rsid w:val="00BF36C0"/>
    <w:rsid w:val="00C00C58"/>
    <w:rsid w:val="00C063F5"/>
    <w:rsid w:val="00C14AC7"/>
    <w:rsid w:val="00C20374"/>
    <w:rsid w:val="00C32F2C"/>
    <w:rsid w:val="00C4787B"/>
    <w:rsid w:val="00C50CF6"/>
    <w:rsid w:val="00C84EF7"/>
    <w:rsid w:val="00C97ABB"/>
    <w:rsid w:val="00D11FF0"/>
    <w:rsid w:val="00D1597E"/>
    <w:rsid w:val="00D33A82"/>
    <w:rsid w:val="00D4346F"/>
    <w:rsid w:val="00D4366B"/>
    <w:rsid w:val="00D803FB"/>
    <w:rsid w:val="00DD6843"/>
    <w:rsid w:val="00DF64B8"/>
    <w:rsid w:val="00E10725"/>
    <w:rsid w:val="00E150E0"/>
    <w:rsid w:val="00E267AF"/>
    <w:rsid w:val="00E379EA"/>
    <w:rsid w:val="00EC1EBA"/>
    <w:rsid w:val="00EE46E1"/>
    <w:rsid w:val="00F0475F"/>
    <w:rsid w:val="00F216F4"/>
    <w:rsid w:val="00F33C71"/>
    <w:rsid w:val="00F439F3"/>
    <w:rsid w:val="00F44290"/>
    <w:rsid w:val="00F91887"/>
    <w:rsid w:val="00F94756"/>
    <w:rsid w:val="00FA2724"/>
    <w:rsid w:val="00FC33B8"/>
    <w:rsid w:val="00FC35A1"/>
    <w:rsid w:val="00FE5E55"/>
    <w:rsid w:val="00FF5D07"/>
    <w:rsid w:val="04A80D8D"/>
    <w:rsid w:val="05B84013"/>
    <w:rsid w:val="08324530"/>
    <w:rsid w:val="0C921E01"/>
    <w:rsid w:val="0CE739D3"/>
    <w:rsid w:val="0EB21298"/>
    <w:rsid w:val="111E6522"/>
    <w:rsid w:val="125E4D69"/>
    <w:rsid w:val="13B83BFB"/>
    <w:rsid w:val="16410068"/>
    <w:rsid w:val="19EE4F90"/>
    <w:rsid w:val="1D7401E2"/>
    <w:rsid w:val="21C43152"/>
    <w:rsid w:val="23FE197D"/>
    <w:rsid w:val="242B5EFD"/>
    <w:rsid w:val="2AF472D7"/>
    <w:rsid w:val="2B1310D3"/>
    <w:rsid w:val="2DE34E7D"/>
    <w:rsid w:val="30AC56BF"/>
    <w:rsid w:val="3133249E"/>
    <w:rsid w:val="35F338D5"/>
    <w:rsid w:val="383B2000"/>
    <w:rsid w:val="3BA772D0"/>
    <w:rsid w:val="3C7270B7"/>
    <w:rsid w:val="3CBC2B14"/>
    <w:rsid w:val="3D151522"/>
    <w:rsid w:val="3F026E8C"/>
    <w:rsid w:val="48372E08"/>
    <w:rsid w:val="4ABF3832"/>
    <w:rsid w:val="4C593862"/>
    <w:rsid w:val="4E194203"/>
    <w:rsid w:val="4EAF0CE9"/>
    <w:rsid w:val="532478FF"/>
    <w:rsid w:val="55BF28E5"/>
    <w:rsid w:val="575B4600"/>
    <w:rsid w:val="5CA456FA"/>
    <w:rsid w:val="66E64067"/>
    <w:rsid w:val="68110D0F"/>
    <w:rsid w:val="6AB93D7E"/>
    <w:rsid w:val="6BB43DF4"/>
    <w:rsid w:val="6D535020"/>
    <w:rsid w:val="725158F8"/>
    <w:rsid w:val="7A252E95"/>
    <w:rsid w:val="7AA66BF9"/>
    <w:rsid w:val="7F6F05A5"/>
    <w:rsid w:val="7FEB0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5"/>
    <w:unhideWhenUsed/>
    <w:qFormat/>
    <w:uiPriority w:val="99"/>
    <w:pPr>
      <w:jc w:val="left"/>
    </w:pPr>
    <w:rPr>
      <w:rFonts w:asciiTheme="minorHAnsi" w:hAnsiTheme="minorHAnsi" w:eastAsiaTheme="minorEastAsia" w:cstheme="minorBidi"/>
      <w:szCs w:val="22"/>
    </w:rPr>
  </w:style>
  <w:style w:type="paragraph" w:styleId="4">
    <w:name w:val="Balloon Text"/>
    <w:basedOn w:val="1"/>
    <w:link w:val="16"/>
    <w:unhideWhenUsed/>
    <w:qFormat/>
    <w:uiPriority w:val="99"/>
    <w:rPr>
      <w:rFonts w:asciiTheme="minorHAnsi" w:hAnsiTheme="minorHAnsi" w:eastAsiaTheme="minorEastAsia" w:cstheme="minorBidi"/>
      <w:sz w:val="18"/>
      <w:szCs w:val="18"/>
    </w:rPr>
  </w:style>
  <w:style w:type="paragraph" w:styleId="5">
    <w:name w:val="footer"/>
    <w:basedOn w:val="1"/>
    <w:link w:val="18"/>
    <w:qFormat/>
    <w:uiPriority w:val="99"/>
    <w:pPr>
      <w:tabs>
        <w:tab w:val="center" w:pos="4153"/>
        <w:tab w:val="right" w:pos="8306"/>
      </w:tabs>
      <w:snapToGrid w:val="0"/>
      <w:jc w:val="left"/>
    </w:pPr>
    <w:rPr>
      <w:sz w:val="18"/>
    </w:rPr>
  </w:style>
  <w:style w:type="paragraph" w:styleId="6">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link w:val="21"/>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unhideWhenUsed/>
    <w:qFormat/>
    <w:uiPriority w:val="99"/>
    <w:rPr>
      <w:color w:val="000000"/>
      <w:u w:val="none"/>
    </w:rPr>
  </w:style>
  <w:style w:type="character" w:styleId="14">
    <w:name w:val="annotation reference"/>
    <w:basedOn w:val="11"/>
    <w:unhideWhenUsed/>
    <w:qFormat/>
    <w:uiPriority w:val="99"/>
    <w:rPr>
      <w:sz w:val="21"/>
      <w:szCs w:val="21"/>
    </w:rPr>
  </w:style>
  <w:style w:type="character" w:customStyle="1" w:styleId="15">
    <w:name w:val="批注文字 字符"/>
    <w:basedOn w:val="11"/>
    <w:link w:val="3"/>
    <w:qFormat/>
    <w:uiPriority w:val="99"/>
    <w:rPr>
      <w:rFonts w:asciiTheme="minorHAnsi" w:hAnsiTheme="minorHAnsi" w:eastAsiaTheme="minorEastAsia" w:cstheme="minorBidi"/>
      <w:kern w:val="2"/>
      <w:sz w:val="21"/>
      <w:szCs w:val="22"/>
    </w:rPr>
  </w:style>
  <w:style w:type="character" w:customStyle="1" w:styleId="16">
    <w:name w:val="批注框文本 字符"/>
    <w:basedOn w:val="11"/>
    <w:link w:val="4"/>
    <w:qFormat/>
    <w:uiPriority w:val="99"/>
    <w:rPr>
      <w:rFonts w:asciiTheme="minorHAnsi" w:hAnsiTheme="minorHAnsi" w:eastAsiaTheme="minorEastAsia" w:cstheme="minorBidi"/>
      <w:kern w:val="2"/>
      <w:sz w:val="18"/>
      <w:szCs w:val="18"/>
    </w:rPr>
  </w:style>
  <w:style w:type="character" w:customStyle="1" w:styleId="17">
    <w:name w:val="页眉 字符"/>
    <w:basedOn w:val="11"/>
    <w:link w:val="6"/>
    <w:qFormat/>
    <w:uiPriority w:val="99"/>
    <w:rPr>
      <w:rFonts w:ascii="Calibri" w:hAnsi="Calibri"/>
      <w:kern w:val="2"/>
      <w:sz w:val="18"/>
      <w:szCs w:val="24"/>
    </w:rPr>
  </w:style>
  <w:style w:type="character" w:customStyle="1" w:styleId="18">
    <w:name w:val="页脚 字符"/>
    <w:basedOn w:val="11"/>
    <w:link w:val="5"/>
    <w:qFormat/>
    <w:uiPriority w:val="99"/>
    <w:rPr>
      <w:rFonts w:ascii="Calibri" w:hAnsi="Calibri"/>
      <w:kern w:val="2"/>
      <w:sz w:val="18"/>
      <w:szCs w:val="24"/>
    </w:rPr>
  </w:style>
  <w:style w:type="paragraph" w:customStyle="1" w:styleId="19">
    <w:name w:val="列出段落1"/>
    <w:basedOn w:val="1"/>
    <w:qFormat/>
    <w:uiPriority w:val="34"/>
    <w:pPr>
      <w:ind w:firstLine="420" w:firstLineChars="200"/>
    </w:pPr>
    <w:rPr>
      <w:rFonts w:asciiTheme="minorHAnsi" w:hAnsiTheme="minorHAnsi" w:eastAsiaTheme="minorEastAsia" w:cstheme="minorBidi"/>
      <w:szCs w:val="22"/>
    </w:rPr>
  </w:style>
  <w:style w:type="paragraph" w:customStyle="1" w:styleId="20">
    <w:name w:val="List Paragraph1"/>
    <w:basedOn w:val="1"/>
    <w:qFormat/>
    <w:uiPriority w:val="0"/>
    <w:pPr>
      <w:ind w:firstLine="420" w:firstLineChars="200"/>
    </w:pPr>
    <w:rPr>
      <w:szCs w:val="21"/>
    </w:rPr>
  </w:style>
  <w:style w:type="character" w:customStyle="1" w:styleId="21">
    <w:name w:val="批注主题 字符"/>
    <w:basedOn w:val="15"/>
    <w:link w:val="8"/>
    <w:qFormat/>
    <w:uiPriority w:val="99"/>
    <w:rPr>
      <w:rFonts w:asciiTheme="minorHAnsi" w:hAnsiTheme="minorHAnsi" w:eastAsiaTheme="minorEastAsia" w:cstheme="minorBidi"/>
      <w:b/>
      <w:bCs/>
      <w:kern w:val="2"/>
      <w:sz w:val="21"/>
      <w:szCs w:val="22"/>
    </w:rPr>
  </w:style>
  <w:style w:type="paragraph" w:styleId="22">
    <w:name w:val="List Paragraph"/>
    <w:basedOn w:val="1"/>
    <w:qFormat/>
    <w:uiPriority w:val="34"/>
    <w:pPr>
      <w:ind w:firstLine="420" w:firstLineChars="200"/>
    </w:pPr>
  </w:style>
  <w:style w:type="paragraph" w:customStyle="1" w:styleId="23">
    <w:name w:val="w-p"/>
    <w:qFormat/>
    <w:uiPriority w:val="0"/>
    <w:pPr>
      <w:spacing w:before="100" w:beforeAutospacing="1" w:after="100" w:afterAutospacing="1"/>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017&#20449;&#20844;&#21672;&#35810;&#23454;&#20064;\&#19978;&#24066;&#20844;&#21496;&#21160;&#24577;\2&#26376;\&#21327;&#20250;&#21160;&#24577;&#21069;&#20004;&#27573;&#21450;&#34892;&#19994;&#24066;&#20540;&#20998;&#24067;&#12289;&#24066;&#20540;&#25490;&#21517;&#21069;&#21313;&#32929;&#3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017&#20449;&#20844;&#21672;&#35810;&#23454;&#20064;\&#19978;&#24066;&#20844;&#21496;&#21160;&#24577;\2&#26376;\&#21327;&#20250;&#21160;&#24577;&#21069;&#20004;&#27573;&#21450;&#34892;&#19994;&#24066;&#20540;&#20998;&#24067;&#12289;&#24066;&#20540;&#25490;&#21517;&#21069;&#21313;&#32929;&#3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017&#20449;&#20844;&#21672;&#35810;&#23454;&#20064;\&#19978;&#24066;&#20844;&#21496;&#21160;&#24577;\2&#26376;\&#26376;&#25104;&#20132;&#3906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0185134904114"/>
          <c:y val="0.144551181102362"/>
          <c:w val="0.379629730191772"/>
          <c:h val="0.762179689077327"/>
        </c:manualLayout>
      </c:layout>
      <c:pieChart>
        <c:varyColors val="1"/>
        <c:ser>
          <c:idx val="0"/>
          <c:order val="0"/>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Pt>
            <c:idx val="6"/>
            <c:bubble3D val="0"/>
            <c:spPr>
              <a:solidFill>
                <a:schemeClr val="accent1">
                  <a:lumMod val="60000"/>
                </a:schemeClr>
              </a:solidFill>
              <a:ln>
                <a:noFill/>
              </a:ln>
              <a:effectLst/>
            </c:spPr>
          </c:dPt>
          <c:dPt>
            <c:idx val="7"/>
            <c:bubble3D val="0"/>
            <c:spPr>
              <a:solidFill>
                <a:schemeClr val="accent2">
                  <a:lumMod val="60000"/>
                </a:schemeClr>
              </a:solidFill>
              <a:ln>
                <a:noFill/>
              </a:ln>
              <a:effectLst/>
            </c:spPr>
          </c:dPt>
          <c:dPt>
            <c:idx val="8"/>
            <c:bubble3D val="0"/>
            <c:spPr>
              <a:solidFill>
                <a:schemeClr val="accent3">
                  <a:lumMod val="60000"/>
                </a:schemeClr>
              </a:solidFill>
              <a:ln>
                <a:noFill/>
              </a:ln>
              <a:effectLst/>
            </c:spPr>
          </c:dPt>
          <c:dLbls>
            <c:dLbl>
              <c:idx val="0"/>
              <c:layout>
                <c:manualLayout>
                  <c:x val="-0.0204342273307792"/>
                  <c:y val="-0.0030048076923076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247117349762663"/>
                  <c:y val="-0.03084935897435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0364967724560886"/>
                  <c:y val="0.0057692307692307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20434227330779"/>
                  <c:y val="0.015384615384615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0581136756278724"/>
                  <c:y val="0.075645391681808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177014360500663"/>
                  <c:y val="0.072825148501174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0846054333764554"/>
                      <c:h val="0.150520833333333"/>
                    </c:manualLayout>
                  </c15:layout>
                </c:ext>
              </c:extLst>
            </c:dLbl>
            <c:dLbl>
              <c:idx val="6"/>
              <c:layout>
                <c:manualLayout>
                  <c:x val="0.00912051173303267"/>
                  <c:y val="0.020352564102564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0.0334353033457025"/>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0.0839693888838608"/>
                  <c:y val="0.0101362179487179"/>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48148148148148"/>
                      <c:h val="0.14976943266707"/>
                    </c:manualLayout>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Sheet2!$A$18:$A$26</c:f>
              <c:strCache>
                <c:ptCount val="9"/>
                <c:pt idx="0">
                  <c:v>材料</c:v>
                </c:pt>
                <c:pt idx="1">
                  <c:v>日常消费</c:v>
                </c:pt>
                <c:pt idx="2">
                  <c:v>工业</c:v>
                </c:pt>
                <c:pt idx="3">
                  <c:v>信息技术</c:v>
                </c:pt>
                <c:pt idx="4">
                  <c:v>医疗保健</c:v>
                </c:pt>
                <c:pt idx="5">
                  <c:v>金融</c:v>
                </c:pt>
                <c:pt idx="6">
                  <c:v>可选消费</c:v>
                </c:pt>
                <c:pt idx="7">
                  <c:v>能源</c:v>
                </c:pt>
                <c:pt idx="8">
                  <c:v>公用事业</c:v>
                </c:pt>
              </c:strCache>
            </c:strRef>
          </c:cat>
          <c:val>
            <c:numRef>
              <c:f>Sheet2!$B$18:$B$26</c:f>
              <c:numCache>
                <c:formatCode>General</c:formatCode>
                <c:ptCount val="9"/>
                <c:pt idx="0">
                  <c:v>4298.91</c:v>
                </c:pt>
                <c:pt idx="1">
                  <c:v>4116.53</c:v>
                </c:pt>
                <c:pt idx="2">
                  <c:v>2093.03</c:v>
                </c:pt>
                <c:pt idx="3">
                  <c:v>1605.41</c:v>
                </c:pt>
                <c:pt idx="4">
                  <c:v>1467.26</c:v>
                </c:pt>
                <c:pt idx="5">
                  <c:v>550.86</c:v>
                </c:pt>
                <c:pt idx="6">
                  <c:v>506.25</c:v>
                </c:pt>
                <c:pt idx="7">
                  <c:v>462.51</c:v>
                </c:pt>
                <c:pt idx="8">
                  <c:v>208.74</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rgbClr val="D9D9D9"/>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Sheet3!$B$1</c:f>
              <c:strCache>
                <c:ptCount val="1"/>
                <c:pt idx="0">
                  <c:v>市值（亿元）（2023-02-28）</c:v>
                </c:pt>
              </c:strCache>
            </c:strRef>
          </c:tx>
          <c:spPr>
            <a:solidFill>
              <a:srgbClr val="C0504D"/>
            </a:solidFill>
          </c:spPr>
          <c:invertIfNegative val="0"/>
          <c:dLbls>
            <c:numFmt formatCode="#,##0.00_);[Red]\(#,##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Sheet3!$A$2:$A$11</c:f>
              <c:strCache>
                <c:ptCount val="10"/>
                <c:pt idx="0">
                  <c:v>牧原股份</c:v>
                </c:pt>
                <c:pt idx="1">
                  <c:v>洛阳钼业</c:v>
                </c:pt>
                <c:pt idx="2">
                  <c:v>中航光电</c:v>
                </c:pt>
                <c:pt idx="3">
                  <c:v>双汇发展</c:v>
                </c:pt>
                <c:pt idx="4">
                  <c:v>龙佰集团</c:v>
                </c:pt>
                <c:pt idx="5">
                  <c:v>神火股份</c:v>
                </c:pt>
                <c:pt idx="6">
                  <c:v>安图生物</c:v>
                </c:pt>
                <c:pt idx="7">
                  <c:v>华兰生物</c:v>
                </c:pt>
                <c:pt idx="8">
                  <c:v>多氟多</c:v>
                </c:pt>
                <c:pt idx="9">
                  <c:v>平煤股份</c:v>
                </c:pt>
              </c:strCache>
            </c:strRef>
          </c:cat>
          <c:val>
            <c:numRef>
              <c:f>Sheet3!$B$2:$B$11</c:f>
              <c:numCache>
                <c:formatCode>General</c:formatCode>
                <c:ptCount val="10"/>
                <c:pt idx="0">
                  <c:v>2710.97</c:v>
                </c:pt>
                <c:pt idx="1">
                  <c:v>1274.36</c:v>
                </c:pt>
                <c:pt idx="2">
                  <c:v>929.67</c:v>
                </c:pt>
                <c:pt idx="3">
                  <c:v>917.44</c:v>
                </c:pt>
                <c:pt idx="4">
                  <c:v>523.68</c:v>
                </c:pt>
                <c:pt idx="5">
                  <c:v>420.93</c:v>
                </c:pt>
                <c:pt idx="6">
                  <c:v>411.86</c:v>
                </c:pt>
                <c:pt idx="7">
                  <c:v>404.83</c:v>
                </c:pt>
                <c:pt idx="8">
                  <c:v>279.6</c:v>
                </c:pt>
                <c:pt idx="9">
                  <c:v>278.06</c:v>
                </c:pt>
              </c:numCache>
            </c:numRef>
          </c:val>
        </c:ser>
        <c:dLbls>
          <c:showLegendKey val="0"/>
          <c:showVal val="1"/>
          <c:showCatName val="0"/>
          <c:showSerName val="0"/>
          <c:showPercent val="0"/>
          <c:showBubbleSize val="0"/>
        </c:dLbls>
        <c:gapWidth val="75"/>
        <c:axId val="197067424"/>
        <c:axId val="197065792"/>
      </c:barChart>
      <c:catAx>
        <c:axId val="19706742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7065792"/>
        <c:crosses val="autoZero"/>
        <c:auto val="1"/>
        <c:lblAlgn val="ctr"/>
        <c:lblOffset val="100"/>
        <c:noMultiLvlLbl val="0"/>
      </c:catAx>
      <c:valAx>
        <c:axId val="197065792"/>
        <c:scaling>
          <c:orientation val="minMax"/>
          <c:max val="3000"/>
        </c:scaling>
        <c:delete val="0"/>
        <c:axPos val="l"/>
        <c:majorGridlines>
          <c:spPr>
            <a:ln w="9525" cap="flat" cmpd="sng" algn="ctr">
              <a:noFill/>
              <a:prstDash val="solid"/>
              <a:round/>
            </a:ln>
          </c:spPr>
        </c:majorGridlines>
        <c:numFmt formatCode="#,##0.00_);[Red]\(#,##0.00\)" sourceLinked="0"/>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7067424"/>
        <c:crosses val="autoZero"/>
        <c:crossBetween val="between"/>
        <c:majorUnit val="750"/>
      </c:valAx>
      <c:spPr>
        <a:ln>
          <a:noFill/>
        </a:ln>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solidFill>
        <a:srgbClr val="D9D9D9"/>
      </a:solid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月成交额（亿元）</c:v>
                </c:pt>
              </c:strCache>
            </c:strRef>
          </c:tx>
          <c:spPr>
            <a:solidFill>
              <a:srgbClr val="C0504D"/>
            </a:solidFill>
          </c:spPr>
          <c:invertIfNegative val="0"/>
          <c:dLbls>
            <c:numFmt formatCode="#,##0.00_);[Red]\(#,##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Sheet1!$A$2:$A$11</c:f>
              <c:strCache>
                <c:ptCount val="10"/>
                <c:pt idx="0">
                  <c:v>牧原股份</c:v>
                </c:pt>
                <c:pt idx="1">
                  <c:v>洛阳钼业</c:v>
                </c:pt>
                <c:pt idx="2">
                  <c:v>多氟多</c:v>
                </c:pt>
                <c:pt idx="3">
                  <c:v>神火股份</c:v>
                </c:pt>
                <c:pt idx="4">
                  <c:v>中航光电</c:v>
                </c:pt>
                <c:pt idx="5">
                  <c:v>通达股份</c:v>
                </c:pt>
                <c:pt idx="6">
                  <c:v>黄河旋风</c:v>
                </c:pt>
                <c:pt idx="7">
                  <c:v>许继电气</c:v>
                </c:pt>
                <c:pt idx="8">
                  <c:v>隆华科技</c:v>
                </c:pt>
                <c:pt idx="9">
                  <c:v>明泰铝业</c:v>
                </c:pt>
              </c:strCache>
            </c:strRef>
          </c:cat>
          <c:val>
            <c:numRef>
              <c:f>Sheet1!$B$2:$B$11</c:f>
              <c:numCache>
                <c:formatCode>###,###,###,##0.0000</c:formatCode>
                <c:ptCount val="10"/>
                <c:pt idx="0">
                  <c:v>306.69</c:v>
                </c:pt>
                <c:pt idx="1">
                  <c:v>237.44</c:v>
                </c:pt>
                <c:pt idx="2">
                  <c:v>133.86</c:v>
                </c:pt>
                <c:pt idx="3">
                  <c:v>121.73</c:v>
                </c:pt>
                <c:pt idx="4">
                  <c:v>107.69</c:v>
                </c:pt>
                <c:pt idx="5">
                  <c:v>107.49</c:v>
                </c:pt>
                <c:pt idx="6">
                  <c:v>102</c:v>
                </c:pt>
                <c:pt idx="7">
                  <c:v>98.24</c:v>
                </c:pt>
                <c:pt idx="8">
                  <c:v>85.06</c:v>
                </c:pt>
                <c:pt idx="9">
                  <c:v>75.99</c:v>
                </c:pt>
              </c:numCache>
            </c:numRef>
          </c:val>
        </c:ser>
        <c:dLbls>
          <c:showLegendKey val="0"/>
          <c:showVal val="1"/>
          <c:showCatName val="0"/>
          <c:showSerName val="0"/>
          <c:showPercent val="0"/>
          <c:showBubbleSize val="0"/>
        </c:dLbls>
        <c:gapWidth val="75"/>
        <c:axId val="121946672"/>
        <c:axId val="121939600"/>
      </c:barChart>
      <c:catAx>
        <c:axId val="121946672"/>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1939600"/>
        <c:crosses val="autoZero"/>
        <c:auto val="1"/>
        <c:lblAlgn val="ctr"/>
        <c:lblOffset val="100"/>
        <c:noMultiLvlLbl val="0"/>
      </c:catAx>
      <c:valAx>
        <c:axId val="121939600"/>
        <c:scaling>
          <c:orientation val="minMax"/>
          <c:max val="320"/>
          <c:min val="0"/>
        </c:scaling>
        <c:delete val="0"/>
        <c:axPos val="l"/>
        <c:numFmt formatCode="#,##0.00_);[Red]\(#,##0.00\)" sourceLinked="0"/>
        <c:majorTickMark val="out"/>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1946672"/>
        <c:crosses val="autoZero"/>
        <c:crossBetween val="between"/>
        <c:majorUnit val="80"/>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solidFill>
        <a:srgbClr val="D9D9D9"/>
      </a:solidFill>
      <a:prstDash val="solid"/>
      <a:round/>
    </a:ln>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FAB32-E2A0-45D1-8D14-571F2D93905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11655</Words>
  <Characters>15725</Characters>
  <Lines>117</Lines>
  <Paragraphs>33</Paragraphs>
  <TotalTime>2</TotalTime>
  <ScaleCrop>false</ScaleCrop>
  <LinksUpToDate>false</LinksUpToDate>
  <CharactersWithSpaces>15740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2023-03-09T06:51:00Z</dcterms:created>
  <dc:creator>Annie</dc:creator>
  <cp:lastModifiedBy>北乔峰</cp:lastModifiedBy>
  <cp:lastPrinted>2019-03-05T16:32:00Z</cp:lastPrinted>
  <dcterms:modified xsi:type="dcterms:W3CDTF">2023-03-09T09:02:22Z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47C51F84618546D48C7F9CE7B86BD695</vt:lpwstr>
  </property>
</Properties>
</file>