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color w:val="auto"/>
        </w:rPr>
      </w:pPr>
      <w:r>
        <w:rPr>
          <w:rFonts w:ascii="华文中宋" w:hAnsi="华文中宋" w:eastAsia="华文中宋" w:cs="Arial"/>
          <w:b/>
          <w:color w:val="auto"/>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color w:val="auto"/>
          <w:sz w:val="40"/>
          <w:szCs w:val="28"/>
        </w:rPr>
        <w:instrText xml:space="preserve">ADDIN CNKISM.UserStyle</w:instrText>
      </w:r>
      <w:r>
        <w:rPr>
          <w:rFonts w:ascii="华文中宋" w:hAnsi="华文中宋" w:eastAsia="华文中宋" w:cs="Arial"/>
          <w:b/>
          <w:color w:val="auto"/>
          <w:sz w:val="40"/>
          <w:szCs w:val="28"/>
        </w:rPr>
        <w:fldChar w:fldCharType="end"/>
      </w:r>
      <w:r>
        <w:rPr>
          <w:rFonts w:hint="eastAsia" w:ascii="华文中宋" w:hAnsi="华文中宋" w:eastAsia="华文中宋" w:cs="Arial"/>
          <w:b/>
          <w:color w:val="auto"/>
          <w:sz w:val="40"/>
          <w:szCs w:val="28"/>
        </w:rPr>
        <w:t>河南辖区上市公司</w:t>
      </w:r>
      <w:r>
        <w:rPr>
          <w:rFonts w:hint="eastAsia" w:ascii="华文中宋" w:hAnsi="华文中宋" w:eastAsia="华文中宋" w:cs="Arial"/>
          <w:b/>
          <w:color w:val="auto"/>
          <w:sz w:val="40"/>
          <w:szCs w:val="28"/>
          <w:lang w:val="en-US" w:eastAsia="zh-CN"/>
        </w:rPr>
        <w:t>6</w:t>
      </w:r>
      <w:r>
        <w:rPr>
          <w:rFonts w:ascii="华文中宋" w:hAnsi="华文中宋" w:eastAsia="华文中宋" w:cs="Arial"/>
          <w:b/>
          <w:color w:val="auto"/>
          <w:sz w:val="40"/>
          <w:szCs w:val="28"/>
        </w:rPr>
        <w:t>月</w:t>
      </w:r>
      <w:r>
        <w:rPr>
          <w:rFonts w:hint="eastAsia" w:ascii="华文中宋" w:hAnsi="华文中宋" w:eastAsia="华文中宋" w:cs="Arial"/>
          <w:b/>
          <w:color w:val="auto"/>
          <w:sz w:val="40"/>
          <w:szCs w:val="28"/>
        </w:rPr>
        <w:t>市场动态</w:t>
      </w:r>
    </w:p>
    <w:p>
      <w:pPr>
        <w:spacing w:after="156" w:afterLines="50" w:line="360" w:lineRule="auto"/>
        <w:ind w:firstLine="560" w:firstLineChars="200"/>
        <w:rPr>
          <w:rFonts w:ascii="仿宋" w:hAnsi="仿宋" w:eastAsia="仿宋"/>
          <w:color w:val="auto"/>
          <w:sz w:val="28"/>
        </w:rPr>
      </w:pPr>
      <w:r>
        <w:rPr>
          <w:rFonts w:hint="eastAsia" w:ascii="仿宋" w:hAnsi="仿宋" w:eastAsia="仿宋"/>
          <w:color w:val="auto"/>
          <w:sz w:val="28"/>
        </w:rPr>
        <w:t>河南上市公司协会联合上海信公科技集团股份有限公司，就河南辖区上市公司2023年</w:t>
      </w:r>
      <w:r>
        <w:rPr>
          <w:rFonts w:hint="eastAsia" w:ascii="仿宋" w:hAnsi="仿宋" w:eastAsia="仿宋"/>
          <w:color w:val="auto"/>
          <w:sz w:val="28"/>
          <w:lang w:val="en-US" w:eastAsia="zh-CN"/>
        </w:rPr>
        <w:t>6</w:t>
      </w:r>
      <w:r>
        <w:rPr>
          <w:rFonts w:hint="eastAsia" w:ascii="仿宋" w:hAnsi="仿宋" w:eastAsia="仿宋"/>
          <w:color w:val="auto"/>
          <w:sz w:val="28"/>
        </w:rPr>
        <w:t>月份市场表现及公开披露的相关信息进行归纳总结、对比分析，具体如下：</w:t>
      </w:r>
    </w:p>
    <w:p>
      <w:pPr>
        <w:spacing w:after="156" w:afterLines="50" w:line="360" w:lineRule="auto"/>
        <w:rPr>
          <w:rFonts w:ascii="仿宋" w:hAnsi="仿宋" w:eastAsia="仿宋"/>
          <w:b/>
          <w:color w:val="auto"/>
          <w:sz w:val="28"/>
        </w:rPr>
      </w:pPr>
      <w:r>
        <w:rPr>
          <w:rFonts w:hint="eastAsia" w:ascii="仿宋" w:hAnsi="仿宋" w:eastAsia="仿宋"/>
          <w:b/>
          <w:color w:val="auto"/>
          <w:sz w:val="28"/>
        </w:rPr>
        <w:t>一、</w:t>
      </w:r>
      <w:r>
        <w:rPr>
          <w:rFonts w:hint="eastAsia" w:ascii="仿宋" w:hAnsi="仿宋" w:eastAsia="仿宋"/>
          <w:b/>
          <w:color w:val="auto"/>
          <w:sz w:val="28"/>
          <w:lang w:val="en-US" w:eastAsia="zh-CN"/>
        </w:rPr>
        <w:t>六</w:t>
      </w:r>
      <w:r>
        <w:rPr>
          <w:rFonts w:ascii="仿宋" w:hAnsi="仿宋" w:eastAsia="仿宋"/>
          <w:b/>
          <w:color w:val="auto"/>
          <w:sz w:val="28"/>
        </w:rPr>
        <w:t>月</w:t>
      </w:r>
      <w:r>
        <w:rPr>
          <w:rFonts w:hint="eastAsia" w:ascii="仿宋" w:hAnsi="仿宋" w:eastAsia="仿宋"/>
          <w:b/>
          <w:color w:val="auto"/>
          <w:sz w:val="28"/>
        </w:rPr>
        <w:t>国内重要财经新闻浏览</w:t>
      </w:r>
    </w:p>
    <w:p>
      <w:pPr>
        <w:widowControl/>
        <w:ind w:firstLine="420"/>
        <w:rPr>
          <w:rFonts w:ascii="仿宋" w:hAnsi="仿宋" w:eastAsia="仿宋"/>
          <w:b/>
          <w:color w:val="auto"/>
          <w:sz w:val="28"/>
        </w:rPr>
      </w:pPr>
      <w:r>
        <w:rPr>
          <w:rFonts w:hint="eastAsia" w:ascii="仿宋" w:hAnsi="仿宋" w:eastAsia="仿宋" w:cs="仿宋"/>
          <w:b/>
          <w:color w:val="auto"/>
          <w:sz w:val="28"/>
          <w:szCs w:val="28"/>
        </w:rPr>
        <w:t>1</w:t>
      </w:r>
      <w:r>
        <w:rPr>
          <w:rFonts w:ascii="仿宋" w:hAnsi="仿宋" w:eastAsia="仿宋" w:cs="仿宋"/>
          <w:b/>
          <w:color w:val="auto"/>
          <w:sz w:val="28"/>
          <w:szCs w:val="28"/>
        </w:rPr>
        <w:t>.</w:t>
      </w:r>
      <w:r>
        <w:rPr>
          <w:rFonts w:hint="eastAsia" w:ascii="仿宋" w:hAnsi="仿宋" w:eastAsia="仿宋" w:cs="仿宋"/>
          <w:b/>
          <w:color w:val="auto"/>
          <w:sz w:val="28"/>
          <w:szCs w:val="28"/>
        </w:rPr>
        <w:t>国资委：加快打造发展方式新、公司治理新、经营机制新、布局结构新的现代新国企。</w:t>
      </w:r>
      <w:r>
        <w:rPr>
          <w:rFonts w:hint="eastAsia" w:ascii="仿宋" w:hAnsi="仿宋" w:eastAsia="仿宋" w:cs="仿宋"/>
          <w:bCs/>
          <w:color w:val="auto"/>
          <w:sz w:val="28"/>
          <w:szCs w:val="28"/>
        </w:rPr>
        <w:t>6月27日</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国务院国资委主任张玉卓应邀出席2023年夏季达沃斯论坛开幕式，并参加“直面挑战：在脆弱的环境中重启增长”分论坛。张玉卓表示，当前中国经济运行整体回升向好，企业有活力、增长有动力，中国国有企业特别是中央企业在开放合作中加快推进高质量发展，以自身质量变革、效率变革、动力变革为经济发展加油助力。下一步，中国国务院国资委将进一步推动中央企业聚焦提高效益效率深化改革，大力弘扬企业家精神，加快打造发展方式新、公司治理新、经营机制新、布局结构新的现代新国企；聚焦提高科技创新能力，紧紧抓住新一轮科技革命和产业变革机遇，强化原创性引领性技术攻关，积极发展战略性新兴产业，不断塑造发展新动能新优势；聚焦扩大高水平开放合作，以高质量参建“一带一路”为重点，更好融入全球市场，更深参与全球产业分工，把共同利益的蛋糕越做越大，为经济发展增加确定性、注入稳定性。</w:t>
      </w:r>
    </w:p>
    <w:p>
      <w:pPr>
        <w:widowControl/>
        <w:ind w:firstLine="420"/>
        <w:rPr>
          <w:rFonts w:ascii="仿宋" w:hAnsi="仿宋" w:eastAsia="仿宋" w:cs="仿宋"/>
          <w:b/>
          <w:color w:val="auto"/>
          <w:sz w:val="28"/>
          <w:szCs w:val="28"/>
        </w:rPr>
      </w:pPr>
      <w:r>
        <w:rPr>
          <w:rFonts w:hint="eastAsia" w:ascii="仿宋" w:hAnsi="仿宋" w:eastAsia="仿宋" w:cs="仿宋"/>
          <w:b/>
          <w:color w:val="auto"/>
          <w:sz w:val="28"/>
          <w:szCs w:val="28"/>
        </w:rPr>
        <w:t>2</w:t>
      </w:r>
      <w:r>
        <w:rPr>
          <w:rFonts w:ascii="仿宋" w:hAnsi="仿宋" w:eastAsia="仿宋" w:cs="仿宋"/>
          <w:b/>
          <w:color w:val="auto"/>
          <w:sz w:val="28"/>
          <w:szCs w:val="28"/>
        </w:rPr>
        <w:t>.</w:t>
      </w:r>
      <w:r>
        <w:rPr>
          <w:rFonts w:hint="eastAsia" w:ascii="仿宋" w:hAnsi="仿宋" w:eastAsia="仿宋" w:cs="仿宋"/>
          <w:b/>
          <w:color w:val="auto"/>
          <w:sz w:val="28"/>
          <w:szCs w:val="28"/>
        </w:rPr>
        <w:t>财政部：重点支持和鼓励大众消费 避免高档豪华车占用过多税收优惠资源。</w:t>
      </w:r>
      <w:r>
        <w:rPr>
          <w:rFonts w:hint="eastAsia" w:ascii="仿宋" w:hAnsi="仿宋" w:eastAsia="仿宋" w:cs="仿宋"/>
          <w:bCs/>
          <w:color w:val="auto"/>
          <w:sz w:val="28"/>
          <w:szCs w:val="28"/>
        </w:rPr>
        <w:t>6月21日</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财政部副部长许宏才今日在新闻发布会上表示，这次延续和优化政策安排主要出于四个方面的考虑：一是稳字当头。把握好节奏和力度，避免政策断档和急转弯，保持对新能源汽车产业发展的支持力度，稳定市场预期，巩固和扩大新能源汽车的发展优势，主要还是稳预期，政策也保持了稳定。二是效率优先。提高税收政策的精准性和有效性，税收政策导向不仅注重“量”的扩张，也注重“质”的提升。三是体现公平。重点支持和鼓励大众消费。通过设置减免税额度政策，避免一些高档豪华车占用过多税收优惠资源。四是协同发力。在延续和优化新能源汽车车辆购置税的同时，相关部门共同行动，形成政策合力，共促行业高质量发展。</w:t>
      </w:r>
    </w:p>
    <w:p>
      <w:pPr>
        <w:widowControl/>
        <w:ind w:firstLine="420"/>
        <w:rPr>
          <w:rFonts w:ascii="仿宋" w:hAnsi="仿宋" w:eastAsia="仿宋" w:cs="仿宋"/>
          <w:b/>
          <w:color w:val="auto"/>
          <w:sz w:val="28"/>
          <w:szCs w:val="28"/>
        </w:rPr>
      </w:pPr>
      <w:r>
        <w:rPr>
          <w:rFonts w:ascii="仿宋" w:hAnsi="仿宋" w:eastAsia="仿宋" w:cs="仿宋"/>
          <w:b/>
          <w:bCs/>
          <w:color w:val="auto"/>
          <w:sz w:val="28"/>
          <w:szCs w:val="28"/>
        </w:rPr>
        <w:t>3.</w:t>
      </w:r>
      <w:r>
        <w:rPr>
          <w:rFonts w:hint="eastAsia" w:ascii="仿宋" w:hAnsi="仿宋" w:eastAsia="仿宋" w:cs="仿宋"/>
          <w:b/>
          <w:color w:val="auto"/>
          <w:sz w:val="28"/>
          <w:szCs w:val="28"/>
        </w:rPr>
        <w:t>商务部：端午假期消费市场持续升温 消费潜力有效释放。</w:t>
      </w:r>
      <w:r>
        <w:rPr>
          <w:rFonts w:hint="eastAsia" w:ascii="仿宋" w:hAnsi="仿宋" w:eastAsia="仿宋" w:cs="仿宋"/>
          <w:color w:val="auto"/>
          <w:sz w:val="28"/>
          <w:szCs w:val="28"/>
        </w:rPr>
        <w:t>6月25日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商务部监测显示，端午假期，各类活动丰富多彩，居民出行意愿较强，消费市场活力显现。据商务大数据监测，节令民俗、升级类商品销售明显增长，重点监测企业粽子销售额同比增长64.3%，金银珠宝、体育用品销售额同比增长13.6%和3.4%。品味美食、观影看展、避暑戏水、野餐露营等休闲消费持续升温，同比增长18.5%。生活必需品货丰价稳，全国百家大型农副产品批发市场库存充足，粮食、食用油、猪肉、牛羊肉、水果价格与节前基本持平，鸡蛋、蔬菜价格比节前分别下降0.5%和0.4%。</w:t>
      </w:r>
    </w:p>
    <w:p>
      <w:pPr>
        <w:widowControl/>
        <w:ind w:firstLine="420"/>
        <w:rPr>
          <w:rFonts w:ascii="仿宋" w:hAnsi="仿宋" w:eastAsia="仿宋" w:cs="仿宋"/>
          <w:b/>
          <w:bCs/>
          <w:color w:val="auto"/>
          <w:sz w:val="28"/>
          <w:szCs w:val="28"/>
        </w:rPr>
      </w:pPr>
      <w:r>
        <w:rPr>
          <w:rFonts w:ascii="仿宋" w:hAnsi="仿宋" w:eastAsia="仿宋" w:cs="仿宋"/>
          <w:b/>
          <w:bCs/>
          <w:color w:val="auto"/>
          <w:sz w:val="28"/>
          <w:szCs w:val="28"/>
        </w:rPr>
        <w:t>4.</w:t>
      </w:r>
      <w:r>
        <w:rPr>
          <w:rFonts w:hint="eastAsia" w:ascii="仿宋" w:hAnsi="仿宋" w:eastAsia="仿宋" w:cs="仿宋"/>
          <w:b/>
          <w:bCs/>
          <w:color w:val="auto"/>
          <w:sz w:val="28"/>
          <w:szCs w:val="28"/>
        </w:rPr>
        <w:t>央行：央行下调逆回购利率施压人民币汇率 长期前景仍趋稳。</w:t>
      </w:r>
      <w:r>
        <w:rPr>
          <w:rFonts w:hint="eastAsia" w:ascii="仿宋" w:hAnsi="仿宋" w:eastAsia="仿宋" w:cs="仿宋"/>
          <w:bCs/>
          <w:color w:val="auto"/>
          <w:sz w:val="28"/>
          <w:szCs w:val="28"/>
        </w:rPr>
        <w:t>中国人民银行将7天期逆回购操作利率6月13日下调10个基点至1.9%，受此影响，境内债券现货和期货市场普遍大涨，人民币汇率下跌。关于“降息”对人民币汇率可能造成的影响，光大银行金融市场部宏观研究员周茂华表示，一方面，国内处于低通胀环境，政策“以我为主”，宏观政策重心偏向促消费和内需恢复；另一方面，外贸韧性、人民币资产长期配置价值凸显，人民币汇率弹性显著增强，外部环境影响有限。“降息”虽然在短期内引发了资金外流，给人民币带来压力，导致汇率波动加剧，但长期来看，政策利率下调有望刺激经济复苏，提振市场信心，稳定人民币汇率。</w:t>
      </w:r>
    </w:p>
    <w:p>
      <w:pPr>
        <w:widowControl/>
        <w:ind w:firstLine="420"/>
        <w:rPr>
          <w:rFonts w:ascii="仿宋" w:hAnsi="仿宋" w:eastAsia="仿宋" w:cs="仿宋"/>
          <w:bCs/>
          <w:color w:val="auto"/>
          <w:sz w:val="28"/>
          <w:szCs w:val="28"/>
        </w:rPr>
      </w:pPr>
      <w:r>
        <w:rPr>
          <w:rFonts w:ascii="仿宋" w:hAnsi="仿宋" w:eastAsia="仿宋" w:cs="仿宋"/>
          <w:b/>
          <w:bCs/>
          <w:color w:val="auto"/>
          <w:sz w:val="28"/>
          <w:szCs w:val="28"/>
        </w:rPr>
        <w:t>5.</w:t>
      </w:r>
      <w:r>
        <w:rPr>
          <w:rFonts w:hint="eastAsia" w:ascii="仿宋" w:hAnsi="仿宋" w:eastAsia="仿宋" w:cs="仿宋"/>
          <w:b/>
          <w:bCs/>
          <w:color w:val="auto"/>
          <w:sz w:val="28"/>
          <w:szCs w:val="28"/>
        </w:rPr>
        <w:t>证监会：区域性股权市场基本搭建完成 累计实现各类融资2.26万亿。</w:t>
      </w:r>
      <w:r>
        <w:rPr>
          <w:rFonts w:hint="eastAsia" w:ascii="仿宋" w:hAnsi="仿宋" w:eastAsia="仿宋" w:cs="仿宋"/>
          <w:bCs/>
          <w:color w:val="auto"/>
          <w:sz w:val="28"/>
          <w:szCs w:val="28"/>
        </w:rPr>
        <w:t>6月28日</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第十八届中博会中小企业投融资国际论坛在广州举办。会上，中国证券监督管理委员会市场二部副主任吴奇超表示，目前区域性股权市场基本搭建完成。证监会将稳步扩大试点覆盖面，逐步推动区域性股权市场全面改革。据吴奇超介绍，截至今年4月底，全国35家区域性股权市场共服务</w:t>
      </w:r>
      <w:bookmarkStart w:id="0" w:name="_GoBack"/>
      <w:bookmarkEnd w:id="0"/>
      <w:r>
        <w:rPr>
          <w:rFonts w:hint="eastAsia" w:ascii="仿宋" w:hAnsi="仿宋" w:eastAsia="仿宋" w:cs="仿宋"/>
          <w:bCs/>
          <w:color w:val="auto"/>
          <w:sz w:val="28"/>
          <w:szCs w:val="28"/>
        </w:rPr>
        <w:t>企业19万家，累计实现各类融资2.26万亿，其中股权融资6950亿元，债券融资4571亿元，股权质押投资7784亿元。企业中累计转板沪深北交易所上市116家，转新三板挂牌848家，被上市公司和新三板挂牌公司收购55家。</w:t>
      </w:r>
    </w:p>
    <w:p>
      <w:pPr>
        <w:widowControl/>
        <w:rPr>
          <w:rFonts w:ascii="仿宋" w:hAnsi="仿宋" w:eastAsia="仿宋" w:cs="仿宋"/>
          <w:b/>
          <w:bCs/>
          <w:color w:val="auto"/>
          <w:sz w:val="28"/>
          <w:szCs w:val="28"/>
        </w:rPr>
      </w:pPr>
      <w:r>
        <w:rPr>
          <w:rFonts w:hint="eastAsia" w:ascii="仿宋" w:hAnsi="仿宋" w:eastAsia="仿宋" w:cs="仿宋"/>
          <w:b/>
          <w:bCs/>
          <w:color w:val="auto"/>
          <w:sz w:val="28"/>
          <w:szCs w:val="28"/>
        </w:rPr>
        <w:t>二、</w:t>
      </w: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月券商行业研究情况浏览</w:t>
      </w:r>
    </w:p>
    <w:p>
      <w:pPr>
        <w:ind w:firstLine="562" w:firstLineChars="200"/>
        <w:rPr>
          <w:rFonts w:ascii="仿宋" w:hAnsi="仿宋" w:eastAsia="仿宋" w:cs="仿宋"/>
          <w:b/>
          <w:bCs/>
          <w:color w:val="auto"/>
          <w:kern w:val="0"/>
          <w:sz w:val="28"/>
          <w:szCs w:val="28"/>
          <w:shd w:val="clear" w:color="auto" w:fill="FFFFFF"/>
        </w:rPr>
      </w:pPr>
      <w:r>
        <w:rPr>
          <w:rFonts w:hint="eastAsia" w:ascii="仿宋" w:hAnsi="仿宋" w:eastAsia="仿宋" w:cs="仿宋"/>
          <w:b/>
          <w:bCs/>
          <w:color w:val="auto"/>
          <w:sz w:val="28"/>
          <w:szCs w:val="28"/>
          <w:shd w:val="clear" w:color="auto" w:fill="FFFFFF"/>
        </w:rPr>
        <w:t>1</w:t>
      </w:r>
      <w:r>
        <w:rPr>
          <w:rFonts w:ascii="仿宋" w:hAnsi="仿宋" w:eastAsia="仿宋" w:cs="仿宋"/>
          <w:b/>
          <w:bCs/>
          <w:color w:val="auto"/>
          <w:sz w:val="28"/>
          <w:szCs w:val="28"/>
          <w:shd w:val="clear" w:color="auto" w:fill="FFFFFF"/>
        </w:rPr>
        <w:t>.</w:t>
      </w:r>
      <w:r>
        <w:rPr>
          <w:rFonts w:hint="eastAsia"/>
          <w:color w:val="auto"/>
        </w:rPr>
        <w:t xml:space="preserve"> </w:t>
      </w:r>
      <w:r>
        <w:rPr>
          <w:rFonts w:hint="eastAsia" w:ascii="仿宋" w:hAnsi="仿宋" w:eastAsia="仿宋" w:cs="仿宋"/>
          <w:b/>
          <w:bCs/>
          <w:color w:val="auto"/>
          <w:kern w:val="0"/>
          <w:sz w:val="28"/>
          <w:szCs w:val="28"/>
          <w:shd w:val="clear" w:color="auto" w:fill="FFFFFF"/>
        </w:rPr>
        <w:t>光模块行业深度：AI算力爆发在即，光模块迎来确定性高增</w:t>
      </w:r>
    </w:p>
    <w:p>
      <w:pPr>
        <w:pStyle w:val="7"/>
        <w:spacing w:before="156" w:beforeLines="50" w:beforeAutospacing="0" w:after="156" w:afterLines="50" w:afterAutospacing="0" w:line="360" w:lineRule="auto"/>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光模块是光通信产业链的重要组成部分，目前市场规模约百亿美元。</w:t>
      </w:r>
    </w:p>
    <w:p>
      <w:pPr>
        <w:pStyle w:val="7"/>
        <w:spacing w:before="156" w:beforeLines="50" w:beforeAutospacing="0" w:after="156" w:afterLines="50" w:afterAutospacing="0" w:line="360" w:lineRule="auto"/>
        <w:ind w:firstLine="280" w:firstLineChars="1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　从光模块下游市场来看：1）电信市场是光模块的发源场景，需求保持稳中有增。一方面，电信用光模块主要集中在前传，对光模块速率要求低且产品迭代速率慢，三大运营商计划将资本开支逐渐倾斜于云计算等算力网络场景；另一方面，光纤入户规模扩大与速率向10GPON升级助推光模块需求；2）数通市场是光模块主要市场且发展迅速。数据中心流量增加和网络架构由传统架构转变为叶脊网络架构推动光模块数量和速率快速提高。目前光模块正处于向800G速率发展的新周期。</w:t>
      </w:r>
    </w:p>
    <w:p>
      <w:pPr>
        <w:pStyle w:val="7"/>
        <w:spacing w:before="156" w:beforeLines="50" w:beforeAutospacing="0" w:after="156" w:afterLines="50" w:afterAutospacing="0" w:line="360" w:lineRule="auto"/>
        <w:ind w:firstLine="280" w:firstLineChars="1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　以ChatGPT为首的AI军备竞赛开启，大幅拉动800G等高速光模块需求量，北美云厂商订单与业绩超预期催化光模块继续放量。英伟达超级计算机DGXGH200推出，单GPU与800G光模块配比量数倍增加；国内外云计算公司陆续推出大语言模型，训练侧模型架构复杂多元，参数量由千亿达到万亿，算力需求大幅增加；推理侧仍在流量增加时期，大模型军备竞赛进入稳态后随AI普及推理侧将成为光模块用量的主要阵地。</w:t>
      </w:r>
    </w:p>
    <w:p>
      <w:pPr>
        <w:pStyle w:val="7"/>
        <w:spacing w:before="156" w:beforeLines="50" w:beforeAutospacing="0" w:after="156" w:afterLines="50" w:afterAutospacing="0" w:line="360" w:lineRule="auto"/>
        <w:ind w:firstLine="280" w:firstLineChars="1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　光模块速率提高与低功耗需求日益强烈，硅光、CPO等技术趋势有望成为长期解决方案。硅光芯片采用“光互联”，叠加CPO技术，将光引擎与交换芯片共同封装，在速率提高的同时大大缩减功耗；此外，LPO，相干技术及薄膜铌酸锂等技术亦成为光模块优化主要新趋势，光模块科技属性增强，研发壁垒与客户认证壁垒增高，长期趋势进一步向好。</w:t>
      </w:r>
    </w:p>
    <w:p>
      <w:pPr>
        <w:pStyle w:val="7"/>
        <w:spacing w:before="156" w:beforeLines="50" w:beforeAutospacing="0" w:after="156" w:afterLines="50" w:afterAutospacing="0" w:line="360" w:lineRule="auto"/>
        <w:ind w:firstLine="560" w:firstLineChars="200"/>
        <w:rPr>
          <w:rFonts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国内厂商主导光模块市场，新周期下龙头厂商技术与市场全面进展，行业内参与者均各有所长。1）光模块全球市占前10中国占据7家，龙头企业在新技术与海外客户均布局完善，其他公司在技术与客户导入上各有侧重。2）光芯片光在光模块中成本占比过半且主要以外购为主，我国相较海外仍落后，光模块厂商参股及收并购芯片厂商或进行自研芯片，一体化布局拥有更多自主权。</w:t>
      </w:r>
    </w:p>
    <w:p>
      <w:pPr>
        <w:pStyle w:val="7"/>
        <w:spacing w:before="156" w:beforeLines="50" w:beforeAutospacing="0" w:after="156" w:afterLines="50" w:afterAutospacing="0" w:line="360" w:lineRule="auto"/>
        <w:ind w:firstLine="210" w:firstLineChars="100"/>
        <w:jc w:val="right"/>
        <w:rPr>
          <w:rFonts w:ascii="微软雅黑" w:hAnsi="微软雅黑" w:eastAsia="微软雅黑" w:cs="Calibri"/>
          <w:color w:val="auto"/>
          <w:sz w:val="21"/>
          <w:szCs w:val="21"/>
        </w:rPr>
      </w:pPr>
      <w:r>
        <w:rPr>
          <w:rFonts w:hint="eastAsia" w:ascii="微软雅黑" w:hAnsi="微软雅黑" w:eastAsia="微软雅黑" w:cs="Calibri"/>
          <w:color w:val="auto"/>
          <w:sz w:val="21"/>
          <w:szCs w:val="21"/>
        </w:rPr>
        <w:t>（内容来源：江西证券股份有限公司202</w:t>
      </w:r>
      <w:r>
        <w:rPr>
          <w:rFonts w:ascii="微软雅黑" w:hAnsi="微软雅黑" w:eastAsia="微软雅黑" w:cs="Calibri"/>
          <w:color w:val="auto"/>
          <w:sz w:val="21"/>
          <w:szCs w:val="21"/>
        </w:rPr>
        <w:t>3</w:t>
      </w:r>
      <w:r>
        <w:rPr>
          <w:rFonts w:hint="eastAsia" w:ascii="微软雅黑" w:hAnsi="微软雅黑" w:eastAsia="微软雅黑" w:cs="Calibri"/>
          <w:color w:val="auto"/>
          <w:sz w:val="21"/>
          <w:szCs w:val="21"/>
        </w:rPr>
        <w:t>-</w:t>
      </w:r>
      <w:r>
        <w:rPr>
          <w:rFonts w:ascii="微软雅黑" w:hAnsi="微软雅黑" w:eastAsia="微软雅黑"/>
          <w:color w:val="auto"/>
          <w:sz w:val="21"/>
          <w:szCs w:val="21"/>
          <w:shd w:val="clear" w:color="auto" w:fill="FFFFFF"/>
        </w:rPr>
        <w:t>0</w:t>
      </w:r>
      <w:r>
        <w:rPr>
          <w:rFonts w:hint="eastAsia" w:ascii="微软雅黑" w:hAnsi="微软雅黑" w:eastAsia="微软雅黑"/>
          <w:color w:val="auto"/>
          <w:sz w:val="21"/>
          <w:szCs w:val="21"/>
          <w:shd w:val="clear" w:color="auto" w:fill="FFFFFF"/>
        </w:rPr>
        <w:t>6-</w:t>
      </w:r>
      <w:r>
        <w:rPr>
          <w:rFonts w:ascii="微软雅黑" w:hAnsi="微软雅黑" w:eastAsia="微软雅黑"/>
          <w:color w:val="auto"/>
          <w:sz w:val="21"/>
          <w:szCs w:val="21"/>
          <w:shd w:val="clear" w:color="auto" w:fill="FFFFFF"/>
        </w:rPr>
        <w:t>2</w:t>
      </w:r>
      <w:r>
        <w:rPr>
          <w:rFonts w:hint="eastAsia" w:ascii="微软雅黑" w:hAnsi="微软雅黑" w:eastAsia="微软雅黑"/>
          <w:color w:val="auto"/>
          <w:sz w:val="21"/>
          <w:szCs w:val="21"/>
          <w:shd w:val="clear" w:color="auto" w:fill="FFFFFF"/>
        </w:rPr>
        <w:t>9</w:t>
      </w:r>
      <w:r>
        <w:rPr>
          <w:rFonts w:hint="eastAsia" w:ascii="微软雅黑" w:hAnsi="微软雅黑" w:eastAsia="微软雅黑" w:cs="Calibri"/>
          <w:color w:val="auto"/>
          <w:sz w:val="21"/>
          <w:szCs w:val="21"/>
        </w:rPr>
        <w:t>）</w:t>
      </w:r>
    </w:p>
    <w:p>
      <w:pPr>
        <w:ind w:firstLine="562" w:firstLineChars="200"/>
        <w:rPr>
          <w:rFonts w:ascii="仿宋" w:hAnsi="仿宋" w:eastAsia="仿宋" w:cs="仿宋"/>
          <w:color w:val="auto"/>
          <w:kern w:val="0"/>
          <w:sz w:val="28"/>
          <w:szCs w:val="28"/>
          <w:shd w:val="clear" w:color="auto" w:fill="FFFFFF"/>
        </w:rPr>
      </w:pPr>
      <w:r>
        <w:rPr>
          <w:rFonts w:hint="eastAsia" w:ascii="仿宋" w:hAnsi="仿宋" w:eastAsia="仿宋" w:cs="仿宋"/>
          <w:b/>
          <w:bCs/>
          <w:color w:val="auto"/>
          <w:sz w:val="28"/>
          <w:szCs w:val="28"/>
          <w:shd w:val="clear" w:color="auto" w:fill="FFFFFF"/>
        </w:rPr>
        <w:t>2.</w:t>
      </w:r>
      <w:r>
        <w:rPr>
          <w:rFonts w:hint="eastAsia"/>
          <w:color w:val="auto"/>
        </w:rPr>
        <w:t xml:space="preserve"> </w:t>
      </w:r>
      <w:r>
        <w:rPr>
          <w:rFonts w:hint="eastAsia" w:ascii="仿宋" w:hAnsi="仿宋" w:eastAsia="仿宋" w:cs="仿宋"/>
          <w:b/>
          <w:bCs/>
          <w:color w:val="auto"/>
          <w:kern w:val="0"/>
          <w:sz w:val="28"/>
          <w:szCs w:val="28"/>
          <w:shd w:val="clear" w:color="auto" w:fill="FFFFFF"/>
        </w:rPr>
        <w:t>公用环保行业节能产业投资机遇分析：节能在双碳目标下的作用与机遇</w:t>
      </w:r>
    </w:p>
    <w:p>
      <w:pPr>
        <w:ind w:firstLine="560" w:firstLineChars="200"/>
        <w:jc w:val="left"/>
        <w:rPr>
          <w:rFonts w:ascii="仿宋" w:hAnsi="仿宋" w:eastAsia="仿宋" w:cs="仿宋"/>
          <w:bCs/>
          <w:color w:val="auto"/>
          <w:kern w:val="0"/>
          <w:sz w:val="28"/>
          <w:szCs w:val="28"/>
          <w:shd w:val="clear" w:color="auto" w:fill="FFFFFF"/>
        </w:rPr>
      </w:pPr>
      <w:r>
        <w:rPr>
          <w:rFonts w:hint="eastAsia" w:ascii="仿宋" w:hAnsi="仿宋" w:eastAsia="仿宋" w:cs="仿宋"/>
          <w:bCs/>
          <w:color w:val="auto"/>
          <w:kern w:val="0"/>
          <w:sz w:val="28"/>
          <w:szCs w:val="28"/>
          <w:shd w:val="clear" w:color="auto" w:fill="FFFFFF"/>
        </w:rPr>
        <w:t>能源价格上涨+气候政策承诺助推节能需求上升。前瞻来看，（1）能源价格目前虽然较俄乌冲突后有所回落，但煤油价格仍高于2021年同期值，资本开支不足导致的能源产能周期错配或仍将在长时间内演绎，能源价格中枢抬升或成定局，节能投资的回收期有望缩短。（2）无论中国还是全球，能源效率提升都是中短期实现气候目标最可行、最有效、最经济的手段。根据IEA预测，中国若要在2030年实现碳达峰，能效提升将贡献约1/4的减排量；而全球若兑现承诺，2021-2030年年均能效提升速度要达到2022年的1.5倍。（3）碳市场发展有望成为中长期企业自主节能的重要引擎。将高耗能行业纳入碳市场、实行碳排放有偿配额、发展CCER都可能加速节能相关产业发展。</w:t>
      </w:r>
    </w:p>
    <w:p>
      <w:pPr>
        <w:ind w:firstLine="560" w:firstLineChars="200"/>
        <w:jc w:val="left"/>
        <w:rPr>
          <w:rFonts w:ascii="仿宋" w:hAnsi="仿宋" w:eastAsia="仿宋" w:cs="仿宋"/>
          <w:bCs/>
          <w:color w:val="auto"/>
          <w:kern w:val="0"/>
          <w:sz w:val="28"/>
          <w:szCs w:val="28"/>
          <w:shd w:val="clear" w:color="auto" w:fill="FFFFFF"/>
        </w:rPr>
      </w:pPr>
      <w:r>
        <w:rPr>
          <w:rFonts w:hint="eastAsia" w:ascii="仿宋" w:hAnsi="仿宋" w:eastAsia="仿宋" w:cs="仿宋"/>
          <w:bCs/>
          <w:color w:val="auto"/>
          <w:kern w:val="0"/>
          <w:sz w:val="28"/>
          <w:szCs w:val="28"/>
          <w:shd w:val="clear" w:color="auto" w:fill="FFFFFF"/>
        </w:rPr>
        <w:t>行业角度：工业节能与建筑节能是重点关注领域。工业、建筑、交通是主要用能行业，能耗占比分别约为70%、20%、10%。工业用能基数大，改造提效空间也比较大。路径上可以分为技术改造、工艺升级、结构调整等。如钢铁行业：长期依靠短流程炼钢推广，短期依靠资源回收利用或提升废钢比；水泥行业：余热发电及废弃物利用将成为水泥生产外部电力替代的关键方式；有色金属：再生有色金属产量不断提高有利于降低能耗。建筑能耗主要来自建筑运行阶段用能，未来或将通过装配式建筑及存量建筑节能改造实现节能。建议关注：（1）节能效果显著的再生金属领域；（2）政策目标清晰的钢结构装配式建筑；（3）国内渗透率较低的Low-E玻璃；（4）应用领域广、节能效果佳的真空绝热材料。</w:t>
      </w:r>
    </w:p>
    <w:p>
      <w:pPr>
        <w:ind w:firstLine="560" w:firstLineChars="200"/>
        <w:jc w:val="left"/>
        <w:rPr>
          <w:rFonts w:ascii="仿宋" w:hAnsi="仿宋" w:eastAsia="仿宋" w:cs="仿宋"/>
          <w:bCs/>
          <w:color w:val="auto"/>
          <w:kern w:val="0"/>
          <w:sz w:val="28"/>
          <w:szCs w:val="28"/>
          <w:shd w:val="clear" w:color="auto" w:fill="FFFFFF"/>
        </w:rPr>
      </w:pPr>
      <w:r>
        <w:rPr>
          <w:rFonts w:hint="eastAsia" w:ascii="仿宋" w:hAnsi="仿宋" w:eastAsia="仿宋" w:cs="仿宋"/>
          <w:bCs/>
          <w:color w:val="auto"/>
          <w:kern w:val="0"/>
          <w:sz w:val="28"/>
          <w:szCs w:val="28"/>
          <w:shd w:val="clear" w:color="auto" w:fill="FFFFFF"/>
        </w:rPr>
        <w:t>技术与服务角度：技术节能主要指各行业更换通用的节能设备与推广节能服务实现能耗降低。节能设备领域建议关注：（1）占工业用电75%的电机及拖动系统的节能升级，包括推广节能优势明显的稀土永磁电机、替代趋势不断加强的非晶节能变压器、政策推广的高效离心式风机；（2）存在较大空间的余热资源利用领域。其中高温余热锅炉市场空间或将大幅增加，低温余热利用的热泵或将以其高转换效率在建筑、工业、农业领域快速推广，市场潜力较大。节能服务领域建议关注：（1）有利于推进源网荷储一体化的综合能源管理；（2）以合同能源为主要发展形式的节能服务产业。</w:t>
      </w:r>
    </w:p>
    <w:p>
      <w:pPr>
        <w:pStyle w:val="7"/>
        <w:spacing w:before="156" w:beforeLines="50" w:beforeAutospacing="0" w:after="156" w:afterLines="50" w:afterAutospacing="0" w:line="360" w:lineRule="auto"/>
        <w:ind w:firstLine="561"/>
        <w:jc w:val="right"/>
        <w:rPr>
          <w:rFonts w:ascii="仿宋" w:hAnsi="仿宋" w:eastAsia="仿宋" w:cs="仿宋"/>
          <w:b/>
          <w:color w:val="auto"/>
          <w:sz w:val="28"/>
          <w:szCs w:val="28"/>
        </w:rPr>
      </w:pPr>
      <w:r>
        <w:rPr>
          <w:rFonts w:hint="eastAsia" w:ascii="微软雅黑" w:hAnsi="微软雅黑" w:eastAsia="微软雅黑" w:cs="Calibri"/>
          <w:color w:val="auto"/>
          <w:sz w:val="21"/>
          <w:szCs w:val="21"/>
        </w:rPr>
        <w:t xml:space="preserve"> （内容来源：信达证券股份有限公司202</w:t>
      </w:r>
      <w:r>
        <w:rPr>
          <w:rFonts w:ascii="微软雅黑" w:hAnsi="微软雅黑" w:eastAsia="微软雅黑" w:cs="Calibri"/>
          <w:color w:val="auto"/>
          <w:sz w:val="21"/>
          <w:szCs w:val="21"/>
        </w:rPr>
        <w:t>3</w:t>
      </w:r>
      <w:r>
        <w:rPr>
          <w:rFonts w:hint="eastAsia" w:ascii="微软雅黑" w:hAnsi="微软雅黑" w:eastAsia="微软雅黑" w:cs="Calibri"/>
          <w:color w:val="auto"/>
          <w:sz w:val="21"/>
          <w:szCs w:val="21"/>
        </w:rPr>
        <w:t>-</w:t>
      </w:r>
      <w:r>
        <w:rPr>
          <w:rFonts w:ascii="微软雅黑" w:hAnsi="微软雅黑" w:eastAsia="微软雅黑" w:cs="Calibri"/>
          <w:color w:val="auto"/>
          <w:sz w:val="21"/>
          <w:szCs w:val="21"/>
        </w:rPr>
        <w:t>0</w:t>
      </w:r>
      <w:r>
        <w:rPr>
          <w:rFonts w:hint="eastAsia" w:ascii="微软雅黑" w:hAnsi="微软雅黑" w:eastAsia="微软雅黑" w:cs="Calibri"/>
          <w:color w:val="auto"/>
          <w:sz w:val="21"/>
          <w:szCs w:val="21"/>
        </w:rPr>
        <w:t>6-22）</w:t>
      </w:r>
    </w:p>
    <w:p>
      <w:pPr>
        <w:ind w:firstLine="562" w:firstLineChars="200"/>
        <w:rPr>
          <w:rFonts w:ascii="仿宋" w:hAnsi="仿宋" w:eastAsia="仿宋" w:cs="仿宋"/>
          <w:b/>
          <w:bCs/>
          <w:color w:val="auto"/>
          <w:kern w:val="0"/>
          <w:sz w:val="28"/>
          <w:szCs w:val="28"/>
          <w:shd w:val="clear" w:color="auto" w:fill="FFFFFF"/>
        </w:rPr>
      </w:pPr>
      <w:r>
        <w:rPr>
          <w:rFonts w:hint="eastAsia" w:ascii="仿宋" w:hAnsi="仿宋" w:eastAsia="仿宋" w:cs="仿宋"/>
          <w:b/>
          <w:bCs/>
          <w:color w:val="auto"/>
          <w:kern w:val="0"/>
          <w:sz w:val="28"/>
          <w:szCs w:val="28"/>
          <w:shd w:val="clear" w:color="auto" w:fill="FFFFFF"/>
        </w:rPr>
        <w:t>3.</w:t>
      </w:r>
      <w:r>
        <w:rPr>
          <w:rFonts w:hint="eastAsia"/>
          <w:color w:val="auto"/>
        </w:rPr>
        <w:t xml:space="preserve"> </w:t>
      </w:r>
      <w:r>
        <w:rPr>
          <w:rFonts w:hint="eastAsia" w:ascii="仿宋" w:hAnsi="仿宋" w:eastAsia="仿宋" w:cs="仿宋"/>
          <w:b/>
          <w:bCs/>
          <w:color w:val="auto"/>
          <w:kern w:val="0"/>
          <w:sz w:val="28"/>
          <w:szCs w:val="28"/>
          <w:shd w:val="clear" w:color="auto" w:fill="FFFFFF"/>
        </w:rPr>
        <w:t>造纸轻工行业深度报告：整装大家居乘风破浪，定制龙头聚势前行</w:t>
      </w:r>
    </w:p>
    <w:p>
      <w:pPr>
        <w:ind w:firstLine="560" w:firstLineChars="200"/>
        <w:jc w:val="left"/>
        <w:rPr>
          <w:rFonts w:ascii="仿宋" w:hAnsi="仿宋" w:eastAsia="仿宋" w:cs="仿宋"/>
          <w:color w:val="auto"/>
          <w:kern w:val="0"/>
          <w:sz w:val="28"/>
          <w:szCs w:val="28"/>
          <w:shd w:val="clear" w:color="auto" w:fill="FFFFFF"/>
        </w:rPr>
      </w:pPr>
      <w:r>
        <w:rPr>
          <w:rFonts w:hint="eastAsia" w:ascii="仿宋" w:hAnsi="仿宋" w:eastAsia="仿宋" w:cs="仿宋"/>
          <w:color w:val="auto"/>
          <w:kern w:val="0"/>
          <w:sz w:val="28"/>
          <w:szCs w:val="28"/>
          <w:shd w:val="clear" w:color="auto" w:fill="FFFFFF"/>
        </w:rPr>
        <w:t>供需两端推动行业转型，整装发展大势所趋。从供给端来看，整装模式可以实现定制企业与家装公司的双方共赢：对于定制企业而言，与整装公司合作可利用家装环节流量带动定制产品销售，提升前端获客能力；对于家装公司，整装模式能够提升客单价、抬升利润。我们认为，整装模式将成为未来家装市场的长期发展趋势。</w:t>
      </w:r>
    </w:p>
    <w:p>
      <w:pPr>
        <w:ind w:firstLine="560" w:firstLineChars="200"/>
        <w:jc w:val="left"/>
        <w:rPr>
          <w:rFonts w:ascii="仿宋" w:hAnsi="仿宋" w:eastAsia="仿宋" w:cs="仿宋"/>
          <w:color w:val="auto"/>
          <w:kern w:val="0"/>
          <w:sz w:val="28"/>
          <w:szCs w:val="28"/>
          <w:shd w:val="clear" w:color="auto" w:fill="FFFFFF"/>
        </w:rPr>
      </w:pPr>
      <w:r>
        <w:rPr>
          <w:rFonts w:hint="eastAsia" w:ascii="仿宋" w:hAnsi="仿宋" w:eastAsia="仿宋" w:cs="仿宋"/>
          <w:color w:val="auto"/>
          <w:kern w:val="0"/>
          <w:sz w:val="28"/>
          <w:szCs w:val="28"/>
          <w:shd w:val="clear" w:color="auto" w:fill="FFFFFF"/>
        </w:rPr>
        <w:t>全产业链开拓资源整合道路，定制企业有望拔得头筹。据欧派整装大家居官方微信公众号援引前瞻产业研究院数据，2023年家装行业市场规模将达到3.2万亿元，其中整装市场的规模将达到1.3万亿元，并将以超过20%的增速持续高增长。万亿市场规模吸引家装产业链上下游企业纷纷布局整装业务。在各类企业中，定制企业产品覆盖品类广、价格占比高，对消费者决策起到决定性作用；同时，定制企业产品品类持续扩充，同时包括设计、安装与售后服务，前后端跨度较小，资源整合较为容易；此外，更优的产品力、供应链整合以及数字化等能力使得定制家居企业在整装赛道上占据天然优势。因此，我们看好定制企业成为整装赛道的主要参与者。</w:t>
      </w:r>
    </w:p>
    <w:p>
      <w:pPr>
        <w:ind w:firstLine="560" w:firstLineChars="200"/>
        <w:jc w:val="left"/>
        <w:rPr>
          <w:rFonts w:ascii="仿宋" w:hAnsi="仿宋" w:eastAsia="仿宋" w:cs="仿宋"/>
          <w:color w:val="auto"/>
          <w:kern w:val="0"/>
          <w:sz w:val="28"/>
          <w:szCs w:val="28"/>
          <w:shd w:val="clear" w:color="auto" w:fill="FFFFFF"/>
        </w:rPr>
      </w:pPr>
      <w:r>
        <w:rPr>
          <w:rFonts w:hint="eastAsia" w:ascii="仿宋" w:hAnsi="仿宋" w:eastAsia="仿宋" w:cs="仿宋"/>
          <w:color w:val="auto"/>
          <w:kern w:val="0"/>
          <w:sz w:val="28"/>
          <w:szCs w:val="28"/>
          <w:shd w:val="clear" w:color="auto" w:fill="FFFFFF"/>
        </w:rPr>
        <w:t>欧派优势得天独厚，整装大家居成果显著，零售大家居未来可期。欧派将大家居之路比作一座险峻的山峰，目前公司正通过山坡的两面向山巅进发：整装大家居以及范围更大的零售大家居。整装大家居已取得显著成果，零售大家居目前正以大家居2.0模式、立体商超模式以及合资大店模式推进。欧派优势突出，多品牌矩阵全方位覆盖各类消费人群，欧派优才和欧铂拉迪助力整合供应链资源。此外，欧派深度赋能装企，信息化战略的实施与服务体系的建设也为大家居战略添砖加瓦。</w:t>
      </w:r>
    </w:p>
    <w:p>
      <w:pPr>
        <w:ind w:firstLine="560" w:firstLineChars="200"/>
        <w:jc w:val="left"/>
        <w:rPr>
          <w:rFonts w:ascii="仿宋" w:hAnsi="仿宋" w:eastAsia="仿宋" w:cs="仿宋"/>
          <w:color w:val="auto"/>
          <w:kern w:val="0"/>
          <w:sz w:val="28"/>
          <w:szCs w:val="28"/>
          <w:shd w:val="clear" w:color="auto" w:fill="FFFFFF"/>
        </w:rPr>
      </w:pPr>
      <w:r>
        <w:rPr>
          <w:rFonts w:hint="eastAsia" w:ascii="仿宋" w:hAnsi="仿宋" w:eastAsia="仿宋" w:cs="仿宋"/>
          <w:color w:val="auto"/>
          <w:kern w:val="0"/>
          <w:sz w:val="28"/>
          <w:szCs w:val="28"/>
          <w:shd w:val="clear" w:color="auto" w:fill="FFFFFF"/>
        </w:rPr>
        <w:t>产品服务全方位升级，重构“人、货、场”零售新格局。欧派大家居战略的核心要素可以从“人”、“货”、“场”三个角度分析。“人”背后所代表的是消费者的个性化诉求、消费者信任，以及公司将流量转化为实际订单的能力。“货”包含了消费者可以直观感知的设计能力、销售服务，以及不可直观感知的生产、装修、售后保障体系，对于可感知的部分关键在于优化消费者体验，对于不可感知的部分关键在于大幅提升效率。“场”指的是对传统家居卖场模式的变革，通过更精心的设计和多样化场所模式，给予消费者更整体直观的居家体验。</w:t>
      </w:r>
    </w:p>
    <w:p>
      <w:pPr>
        <w:ind w:firstLine="560" w:firstLineChars="200"/>
        <w:jc w:val="left"/>
        <w:rPr>
          <w:rFonts w:ascii="仿宋" w:hAnsi="仿宋" w:eastAsia="仿宋" w:cs="仿宋"/>
          <w:color w:val="auto"/>
          <w:kern w:val="0"/>
          <w:sz w:val="28"/>
          <w:szCs w:val="28"/>
          <w:shd w:val="clear" w:color="auto" w:fill="FFFFFF"/>
        </w:rPr>
      </w:pPr>
      <w:r>
        <w:rPr>
          <w:rFonts w:hint="eastAsia" w:ascii="仿宋" w:hAnsi="仿宋" w:eastAsia="仿宋" w:cs="仿宋"/>
          <w:color w:val="auto"/>
          <w:kern w:val="0"/>
          <w:sz w:val="28"/>
          <w:szCs w:val="28"/>
          <w:shd w:val="clear" w:color="auto" w:fill="FFFFFF"/>
        </w:rPr>
        <w:t>贝壳进军家装领域，胜负关键仍在未来。22年贝壳收购圣都家装100%股权，将家装领域的流量入口提前至找房阶段，行业竞争加剧。整装发展正处于关键转折时期，未来企业破局整装，首先依靠的是将整装服务流程标准化、透明化；其次，要继续加强数字化转型、实现数字家庭融合；培养产业工人和客户体验的提升也是实现突破的关键因素。</w:t>
      </w:r>
    </w:p>
    <w:p>
      <w:pPr>
        <w:pStyle w:val="7"/>
        <w:spacing w:before="156" w:beforeLines="50" w:beforeAutospacing="0" w:after="156" w:afterLines="50" w:afterAutospacing="0" w:line="360" w:lineRule="auto"/>
        <w:ind w:firstLine="561"/>
        <w:jc w:val="right"/>
        <w:rPr>
          <w:rFonts w:ascii="微软雅黑" w:hAnsi="微软雅黑" w:eastAsia="微软雅黑" w:cs="Calibri"/>
          <w:color w:val="auto"/>
          <w:sz w:val="21"/>
          <w:szCs w:val="21"/>
        </w:rPr>
      </w:pPr>
      <w:r>
        <w:rPr>
          <w:rFonts w:hint="eastAsia" w:ascii="仿宋" w:hAnsi="仿宋" w:eastAsia="仿宋" w:cs="仿宋"/>
          <w:color w:val="auto"/>
          <w:sz w:val="28"/>
          <w:szCs w:val="28"/>
          <w:shd w:val="clear" w:color="auto" w:fill="FFFFFF"/>
        </w:rPr>
        <w:t xml:space="preserve">                  </w:t>
      </w:r>
      <w:r>
        <w:rPr>
          <w:rFonts w:hint="eastAsia" w:ascii="微软雅黑" w:hAnsi="微软雅黑" w:eastAsia="微软雅黑" w:cs="Calibri"/>
          <w:color w:val="auto"/>
          <w:sz w:val="21"/>
          <w:szCs w:val="21"/>
        </w:rPr>
        <w:t>（内容来源：海通证券有限责任公司202</w:t>
      </w:r>
      <w:r>
        <w:rPr>
          <w:rFonts w:ascii="微软雅黑" w:hAnsi="微软雅黑" w:eastAsia="微软雅黑" w:cs="Calibri"/>
          <w:color w:val="auto"/>
          <w:sz w:val="21"/>
          <w:szCs w:val="21"/>
        </w:rPr>
        <w:t>3</w:t>
      </w:r>
      <w:r>
        <w:rPr>
          <w:rFonts w:hint="eastAsia" w:ascii="微软雅黑" w:hAnsi="微软雅黑" w:eastAsia="微软雅黑" w:cs="Calibri"/>
          <w:color w:val="auto"/>
          <w:sz w:val="21"/>
          <w:szCs w:val="21"/>
        </w:rPr>
        <w:t>-</w:t>
      </w:r>
      <w:r>
        <w:rPr>
          <w:rFonts w:ascii="微软雅黑" w:hAnsi="微软雅黑" w:eastAsia="微软雅黑" w:cs="Calibri"/>
          <w:color w:val="auto"/>
          <w:sz w:val="21"/>
          <w:szCs w:val="21"/>
        </w:rPr>
        <w:t>0</w:t>
      </w:r>
      <w:r>
        <w:rPr>
          <w:rFonts w:hint="eastAsia" w:ascii="微软雅黑" w:hAnsi="微软雅黑" w:eastAsia="微软雅黑" w:cs="Calibri"/>
          <w:color w:val="auto"/>
          <w:sz w:val="21"/>
          <w:szCs w:val="21"/>
        </w:rPr>
        <w:t>6-14）</w:t>
      </w:r>
    </w:p>
    <w:p>
      <w:pPr>
        <w:spacing w:before="156" w:beforeLines="50" w:after="156" w:afterLines="50"/>
        <w:rPr>
          <w:rFonts w:ascii="仿宋" w:hAnsi="仿宋" w:eastAsia="仿宋"/>
          <w:b/>
          <w:color w:val="auto"/>
          <w:sz w:val="28"/>
        </w:rPr>
      </w:pPr>
      <w:r>
        <w:rPr>
          <w:rFonts w:ascii="仿宋" w:hAnsi="仿宋" w:eastAsia="仿宋"/>
          <w:b/>
          <w:color w:val="auto"/>
          <w:sz w:val="28"/>
        </w:rPr>
        <w:t>三</w:t>
      </w:r>
      <w:r>
        <w:rPr>
          <w:rFonts w:hint="eastAsia" w:ascii="仿宋" w:hAnsi="仿宋" w:eastAsia="仿宋"/>
          <w:b/>
          <w:color w:val="auto"/>
          <w:sz w:val="28"/>
        </w:rPr>
        <w:t>、河南辖区上市公司基本情况</w:t>
      </w:r>
    </w:p>
    <w:p>
      <w:pPr>
        <w:spacing w:line="360" w:lineRule="auto"/>
        <w:ind w:firstLine="560" w:firstLineChars="200"/>
        <w:rPr>
          <w:rFonts w:ascii="仿宋" w:hAnsi="仿宋" w:eastAsia="仿宋"/>
          <w:color w:val="auto"/>
          <w:sz w:val="28"/>
        </w:rPr>
      </w:pPr>
      <w:r>
        <w:rPr>
          <w:rFonts w:hint="eastAsia" w:ascii="仿宋" w:hAnsi="仿宋" w:eastAsia="仿宋"/>
          <w:color w:val="auto"/>
          <w:sz w:val="28"/>
        </w:rPr>
        <w:t>截至2023年6月30日,河南辖区共有</w:t>
      </w:r>
      <w:r>
        <w:rPr>
          <w:rFonts w:ascii="仿宋" w:hAnsi="仿宋" w:eastAsia="仿宋"/>
          <w:color w:val="auto"/>
          <w:sz w:val="28"/>
        </w:rPr>
        <w:t>A股上市公司110</w:t>
      </w:r>
      <w:r>
        <w:rPr>
          <w:rFonts w:hint="eastAsia" w:ascii="仿宋" w:hAnsi="仿宋" w:eastAsia="仿宋"/>
          <w:color w:val="auto"/>
          <w:sz w:val="28"/>
        </w:rPr>
        <w:t>家。位居全国第13位（按照协会口径统计）。其中上交所主板29家，科创板5家，深交所主板36家、创业板28家。</w:t>
      </w:r>
    </w:p>
    <w:p>
      <w:pPr>
        <w:spacing w:line="360" w:lineRule="auto"/>
        <w:ind w:firstLine="560" w:firstLineChars="200"/>
        <w:rPr>
          <w:rFonts w:ascii="仿宋" w:hAnsi="仿宋" w:eastAsia="仿宋"/>
          <w:color w:val="auto"/>
          <w:sz w:val="28"/>
        </w:rPr>
      </w:pPr>
      <w:r>
        <w:rPr>
          <w:rFonts w:hint="eastAsia" w:ascii="仿宋" w:hAnsi="仿宋" w:eastAsia="仿宋"/>
          <w:color w:val="auto"/>
          <w:sz w:val="28"/>
        </w:rPr>
        <w:t>截至2023年6月30日,河南辖区A股上市公司的总市值为13,941.63亿元，占</w:t>
      </w:r>
      <w:r>
        <w:rPr>
          <w:rFonts w:ascii="仿宋" w:hAnsi="仿宋" w:eastAsia="仿宋"/>
          <w:color w:val="auto"/>
          <w:sz w:val="28"/>
        </w:rPr>
        <w:t>A股上市公司总市值的1.49%</w:t>
      </w:r>
      <w:r>
        <w:rPr>
          <w:rFonts w:hint="eastAsia" w:ascii="仿宋" w:hAnsi="仿宋" w:eastAsia="仿宋"/>
          <w:color w:val="auto"/>
          <w:sz w:val="28"/>
        </w:rPr>
        <w:t>。2023年河南辖区上市公司再融资（含增发、配股）募集资金总额为</w:t>
      </w:r>
      <w:r>
        <w:rPr>
          <w:rFonts w:ascii="仿宋" w:hAnsi="仿宋" w:eastAsia="仿宋"/>
          <w:color w:val="auto"/>
          <w:sz w:val="28"/>
        </w:rPr>
        <w:t>81.88</w:t>
      </w:r>
      <w:r>
        <w:rPr>
          <w:rFonts w:hint="eastAsia" w:ascii="仿宋" w:hAnsi="仿宋" w:eastAsia="仿宋"/>
          <w:color w:val="auto"/>
          <w:sz w:val="28"/>
        </w:rPr>
        <w:t>亿元。</w:t>
      </w:r>
    </w:p>
    <w:p>
      <w:pPr>
        <w:spacing w:before="156" w:beforeLines="50" w:after="156" w:afterLines="50" w:line="360" w:lineRule="auto"/>
        <w:jc w:val="center"/>
        <w:rPr>
          <w:rFonts w:ascii="仿宋" w:hAnsi="仿宋" w:eastAsia="仿宋"/>
          <w:b/>
          <w:color w:val="auto"/>
          <w:sz w:val="24"/>
        </w:rPr>
      </w:pPr>
      <w:r>
        <w:rPr>
          <w:rFonts w:hint="eastAsia" w:ascii="仿宋" w:hAnsi="仿宋" w:eastAsia="仿宋"/>
          <w:b/>
          <w:color w:val="auto"/>
          <w:sz w:val="24"/>
        </w:rPr>
        <w:t>图1　上市公司市值排名行业分布图</w:t>
      </w:r>
    </w:p>
    <w:p>
      <w:pPr>
        <w:spacing w:before="156" w:beforeLines="50" w:after="156" w:afterLines="50" w:line="360" w:lineRule="auto"/>
        <w:jc w:val="center"/>
        <w:rPr>
          <w:rFonts w:ascii="仿宋" w:hAnsi="仿宋" w:eastAsia="仿宋"/>
          <w:b/>
          <w:color w:val="auto"/>
          <w:sz w:val="24"/>
        </w:rPr>
      </w:pPr>
      <w:r>
        <w:rPr>
          <w:rFonts w:ascii="仿宋" w:hAnsi="仿宋" w:eastAsia="仿宋"/>
          <w:b/>
          <w:color w:val="auto"/>
          <w:sz w:val="24"/>
        </w:rPr>
        <w:drawing>
          <wp:inline distT="0" distB="0" distL="0" distR="0">
            <wp:extent cx="4722495" cy="2305685"/>
            <wp:effectExtent l="4445" t="4445" r="16510"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before="156" w:beforeLines="50" w:after="156" w:afterLines="50" w:line="360" w:lineRule="auto"/>
        <w:jc w:val="center"/>
        <w:rPr>
          <w:rFonts w:ascii="仿宋" w:hAnsi="仿宋" w:eastAsia="仿宋"/>
          <w:b/>
          <w:color w:val="auto"/>
          <w:sz w:val="24"/>
        </w:rPr>
      </w:pPr>
      <w:r>
        <w:rPr>
          <w:rFonts w:hint="eastAsia" w:ascii="仿宋" w:hAnsi="仿宋" w:eastAsia="仿宋"/>
          <w:b/>
          <w:color w:val="auto"/>
          <w:sz w:val="24"/>
        </w:rPr>
        <w:t>图2  市值排名前十的</w:t>
      </w:r>
      <w:r>
        <w:rPr>
          <w:rFonts w:ascii="仿宋" w:hAnsi="仿宋" w:eastAsia="仿宋"/>
          <w:b/>
          <w:color w:val="auto"/>
          <w:sz w:val="24"/>
        </w:rPr>
        <w:t>上市公司</w:t>
      </w:r>
    </w:p>
    <w:p>
      <w:pPr>
        <w:spacing w:before="156" w:beforeLines="50" w:after="156" w:afterLines="50" w:line="360" w:lineRule="auto"/>
        <w:jc w:val="center"/>
        <w:rPr>
          <w:rFonts w:ascii="仿宋" w:hAnsi="仿宋" w:eastAsia="仿宋"/>
          <w:b/>
          <w:color w:val="auto"/>
          <w:sz w:val="24"/>
        </w:rPr>
      </w:pPr>
      <w:r>
        <w:rPr>
          <w:rFonts w:ascii="仿宋" w:hAnsi="仿宋" w:eastAsia="仿宋"/>
          <w:b/>
          <w:color w:val="auto"/>
          <w:sz w:val="24"/>
        </w:rPr>
        <w:drawing>
          <wp:inline distT="0" distB="0" distL="0" distR="0">
            <wp:extent cx="4690745" cy="2353310"/>
            <wp:effectExtent l="4445" t="5080" r="10160" b="2286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color w:val="auto"/>
          <w:sz w:val="24"/>
        </w:rPr>
      </w:pPr>
      <w:r>
        <w:rPr>
          <w:rFonts w:ascii="仿宋" w:hAnsi="仿宋" w:eastAsia="仿宋"/>
          <w:b/>
          <w:color w:val="auto"/>
          <w:sz w:val="24"/>
        </w:rPr>
        <w:t>图3  月成交额排名前十的上市公司</w:t>
      </w:r>
    </w:p>
    <w:p>
      <w:pPr>
        <w:spacing w:before="156" w:beforeLines="50" w:after="156" w:afterLines="50" w:line="360" w:lineRule="auto"/>
        <w:jc w:val="center"/>
        <w:rPr>
          <w:rFonts w:ascii="仿宋" w:hAnsi="仿宋" w:eastAsia="仿宋"/>
          <w:b/>
          <w:color w:val="auto"/>
          <w:sz w:val="24"/>
        </w:rPr>
      </w:pPr>
      <w:r>
        <w:rPr>
          <w:rFonts w:ascii="仿宋" w:hAnsi="仿宋" w:eastAsia="仿宋"/>
          <w:b/>
          <w:color w:val="auto"/>
          <w:sz w:val="24"/>
        </w:rPr>
        <w:drawing>
          <wp:inline distT="0" distB="0" distL="0" distR="0">
            <wp:extent cx="4706620" cy="2202180"/>
            <wp:effectExtent l="5080" t="4445" r="12700" b="2222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jc w:val="center"/>
        <w:rPr>
          <w:rFonts w:ascii="仿宋" w:hAnsi="仿宋" w:eastAsia="仿宋"/>
          <w:b/>
          <w:color w:val="auto"/>
          <w:sz w:val="24"/>
        </w:rPr>
      </w:pPr>
    </w:p>
    <w:p>
      <w:pPr>
        <w:spacing w:before="156" w:beforeLines="50" w:after="156" w:afterLines="50"/>
        <w:rPr>
          <w:rFonts w:ascii="仿宋" w:hAnsi="仿宋" w:eastAsia="仿宋"/>
          <w:b/>
          <w:color w:val="auto"/>
          <w:sz w:val="28"/>
        </w:rPr>
      </w:pPr>
      <w:r>
        <w:rPr>
          <w:rFonts w:hint="eastAsia" w:ascii="仿宋" w:hAnsi="仿宋" w:eastAsia="仿宋"/>
          <w:b/>
          <w:color w:val="auto"/>
          <w:sz w:val="28"/>
        </w:rPr>
        <w:t>四、河南辖区上市公司</w:t>
      </w:r>
      <w:r>
        <w:rPr>
          <w:rFonts w:hint="eastAsia" w:ascii="仿宋" w:hAnsi="仿宋" w:eastAsia="仿宋"/>
          <w:b/>
          <w:color w:val="auto"/>
          <w:sz w:val="28"/>
          <w:lang w:val="en-US" w:eastAsia="zh-CN"/>
        </w:rPr>
        <w:t>六</w:t>
      </w:r>
      <w:r>
        <w:rPr>
          <w:rFonts w:hint="eastAsia" w:ascii="仿宋" w:hAnsi="仿宋" w:eastAsia="仿宋"/>
          <w:b/>
          <w:color w:val="auto"/>
          <w:sz w:val="28"/>
        </w:rPr>
        <w:t>月市场表现分析</w:t>
      </w:r>
    </w:p>
    <w:p>
      <w:pPr>
        <w:ind w:firstLine="560" w:firstLineChars="200"/>
        <w:rPr>
          <w:rFonts w:ascii="仿宋" w:hAnsi="仿宋" w:eastAsia="仿宋"/>
          <w:color w:val="auto"/>
          <w:sz w:val="28"/>
        </w:rPr>
      </w:pPr>
      <w:r>
        <w:rPr>
          <w:rFonts w:hint="eastAsia" w:ascii="仿宋" w:hAnsi="仿宋" w:eastAsia="仿宋"/>
          <w:color w:val="auto"/>
          <w:sz w:val="28"/>
        </w:rPr>
        <w:t>6月上旬A股呈现修复回升态势，上证综指一度回升至3270点附近，大盘蓝筹与中小盘也同步回暖。15日，金融、大消费等纷纷走强，新能源赛道则进一步扩大涨势，创业板指大涨超3%。截至收盘，沪指涨0.74%，深成指涨1.81%，创业板指涨3.44%。但进入中下旬A股表现偏弱。19日，三大指数全线回调，AI方向逆势拉升，沪指跌0.54%，深成指跌0.29%，创业板指跌0.21%。27日市场延续弱势下跌格局，三大指数均跌超1%，更是连续两个交易日超4000家个股下跌。</w:t>
      </w:r>
      <w:r>
        <w:rPr>
          <w:rFonts w:ascii="仿宋" w:hAnsi="仿宋" w:eastAsia="仿宋"/>
          <w:color w:val="auto"/>
          <w:sz w:val="28"/>
        </w:rPr>
        <w:t>及至月末，上证综指下跌0.08%</w:t>
      </w:r>
      <w:r>
        <w:rPr>
          <w:rFonts w:hint="eastAsia" w:ascii="仿宋" w:hAnsi="仿宋" w:eastAsia="仿宋"/>
          <w:color w:val="auto"/>
          <w:sz w:val="28"/>
        </w:rPr>
        <w:t>，报收</w:t>
      </w:r>
      <w:r>
        <w:rPr>
          <w:rFonts w:ascii="仿宋" w:hAnsi="仿宋" w:eastAsia="仿宋"/>
          <w:color w:val="auto"/>
          <w:sz w:val="28"/>
        </w:rPr>
        <w:t>3,202.06</w:t>
      </w:r>
      <w:r>
        <w:rPr>
          <w:rFonts w:hint="eastAsia" w:ascii="仿宋" w:hAnsi="仿宋" w:eastAsia="仿宋"/>
          <w:color w:val="auto"/>
          <w:sz w:val="28"/>
        </w:rPr>
        <w:t>点；深证成指</w:t>
      </w:r>
      <w:r>
        <w:rPr>
          <w:rFonts w:ascii="仿宋" w:hAnsi="仿宋" w:eastAsia="仿宋"/>
          <w:color w:val="auto"/>
          <w:sz w:val="28"/>
        </w:rPr>
        <w:t>上涨1.76%</w:t>
      </w:r>
      <w:r>
        <w:rPr>
          <w:rFonts w:hint="eastAsia" w:ascii="仿宋" w:hAnsi="仿宋" w:eastAsia="仿宋"/>
          <w:color w:val="auto"/>
          <w:sz w:val="28"/>
        </w:rPr>
        <w:t>，报收</w:t>
      </w:r>
      <w:r>
        <w:rPr>
          <w:rFonts w:ascii="仿宋" w:hAnsi="仿宋" w:eastAsia="仿宋"/>
          <w:color w:val="auto"/>
          <w:sz w:val="28"/>
        </w:rPr>
        <w:t>11,026.59</w:t>
      </w:r>
      <w:r>
        <w:rPr>
          <w:rFonts w:hint="eastAsia" w:ascii="仿宋" w:hAnsi="仿宋" w:eastAsia="仿宋"/>
          <w:color w:val="auto"/>
          <w:sz w:val="28"/>
        </w:rPr>
        <w:t>点；创业板指上涨0.39%，报收</w:t>
      </w:r>
      <w:r>
        <w:rPr>
          <w:rFonts w:ascii="仿宋" w:hAnsi="仿宋" w:eastAsia="仿宋"/>
          <w:color w:val="auto"/>
          <w:sz w:val="28"/>
        </w:rPr>
        <w:t>2,215.00</w:t>
      </w:r>
      <w:r>
        <w:rPr>
          <w:rFonts w:hint="eastAsia" w:ascii="仿宋" w:hAnsi="仿宋" w:eastAsia="仿宋"/>
          <w:color w:val="auto"/>
          <w:sz w:val="28"/>
        </w:rPr>
        <w:t>点。</w:t>
      </w:r>
    </w:p>
    <w:p>
      <w:pPr>
        <w:spacing w:after="156" w:afterLines="50"/>
        <w:ind w:firstLine="560" w:firstLineChars="200"/>
        <w:rPr>
          <w:rFonts w:ascii="仿宋" w:hAnsi="仿宋" w:eastAsia="仿宋"/>
          <w:b/>
          <w:color w:val="auto"/>
          <w:sz w:val="24"/>
        </w:rPr>
      </w:pPr>
      <w:r>
        <w:rPr>
          <w:rFonts w:hint="eastAsia" w:ascii="仿宋" w:hAnsi="仿宋" w:eastAsia="仿宋"/>
          <w:color w:val="auto"/>
          <w:sz w:val="28"/>
        </w:rPr>
        <w:t>2023年6月，河南</w:t>
      </w:r>
      <w:r>
        <w:rPr>
          <w:rFonts w:ascii="仿宋" w:hAnsi="仿宋" w:eastAsia="仿宋"/>
          <w:color w:val="auto"/>
          <w:sz w:val="28"/>
        </w:rPr>
        <w:t>辖区</w:t>
      </w:r>
      <w:r>
        <w:rPr>
          <w:rFonts w:hint="eastAsia" w:ascii="仿宋" w:hAnsi="仿宋" w:eastAsia="仿宋"/>
          <w:color w:val="auto"/>
          <w:sz w:val="28"/>
        </w:rPr>
        <w:t>涨幅排名前10位的股票中，可选消费占据4席，工业占据3席，信息技术占据2席，材料占据1席，涨幅最大的是飞龙股份，</w:t>
      </w:r>
      <w:r>
        <w:rPr>
          <w:rFonts w:ascii="仿宋" w:hAnsi="仿宋" w:eastAsia="仿宋"/>
          <w:color w:val="auto"/>
          <w:sz w:val="28"/>
        </w:rPr>
        <w:t>上涨</w:t>
      </w:r>
      <w:r>
        <w:rPr>
          <w:rFonts w:hint="eastAsia" w:ascii="仿宋" w:hAnsi="仿宋" w:eastAsia="仿宋"/>
          <w:color w:val="auto"/>
          <w:sz w:val="28"/>
        </w:rPr>
        <w:t>41.8%；其次是林州重机，</w:t>
      </w:r>
      <w:r>
        <w:rPr>
          <w:rFonts w:ascii="仿宋" w:hAnsi="仿宋" w:eastAsia="仿宋"/>
          <w:color w:val="auto"/>
          <w:sz w:val="28"/>
        </w:rPr>
        <w:t>上涨</w:t>
      </w:r>
      <w:r>
        <w:rPr>
          <w:rFonts w:hint="eastAsia" w:ascii="仿宋" w:hAnsi="仿宋" w:eastAsia="仿宋"/>
          <w:color w:val="auto"/>
          <w:sz w:val="28"/>
        </w:rPr>
        <w:t>39.33%。</w:t>
      </w:r>
    </w:p>
    <w:p>
      <w:pPr>
        <w:spacing w:after="156" w:afterLines="50"/>
        <w:jc w:val="center"/>
        <w:rPr>
          <w:rFonts w:ascii="仿宋" w:hAnsi="仿宋" w:eastAsia="仿宋"/>
          <w:b/>
          <w:color w:val="auto"/>
          <w:sz w:val="24"/>
        </w:rPr>
      </w:pPr>
      <w:r>
        <w:rPr>
          <w:rFonts w:hint="eastAsia" w:ascii="仿宋" w:hAnsi="仿宋" w:eastAsia="仿宋"/>
          <w:b/>
          <w:color w:val="auto"/>
          <w:sz w:val="24"/>
        </w:rPr>
        <w:t>表1  月涨幅前10的股票</w:t>
      </w:r>
    </w:p>
    <w:tbl>
      <w:tblPr>
        <w:tblStyle w:val="9"/>
        <w:tblW w:w="10236" w:type="dxa"/>
        <w:jc w:val="center"/>
        <w:tblLayout w:type="fixed"/>
        <w:tblCellMar>
          <w:top w:w="0" w:type="dxa"/>
          <w:left w:w="108" w:type="dxa"/>
          <w:bottom w:w="0" w:type="dxa"/>
          <w:right w:w="108" w:type="dxa"/>
        </w:tblCellMar>
      </w:tblPr>
      <w:tblGrid>
        <w:gridCol w:w="705"/>
        <w:gridCol w:w="1276"/>
        <w:gridCol w:w="1133"/>
        <w:gridCol w:w="1556"/>
        <w:gridCol w:w="1714"/>
        <w:gridCol w:w="1767"/>
        <w:gridCol w:w="2085"/>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auto"/>
                <w:szCs w:val="21"/>
              </w:rPr>
            </w:pPr>
            <w:r>
              <w:rPr>
                <w:rFonts w:hint="eastAsia" w:ascii="仿宋" w:hAnsi="仿宋" w:eastAsia="仿宋"/>
                <w:b/>
                <w:color w:val="auto"/>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auto"/>
                <w:szCs w:val="21"/>
              </w:rPr>
            </w:pPr>
            <w:r>
              <w:rPr>
                <w:rFonts w:hint="eastAsia" w:ascii="仿宋" w:hAnsi="仿宋" w:eastAsia="仿宋"/>
                <w:b/>
                <w:color w:val="auto"/>
                <w:szCs w:val="21"/>
              </w:rPr>
              <w:t>月涨幅（</w:t>
            </w:r>
            <w:r>
              <w:rPr>
                <w:rFonts w:ascii="仿宋" w:hAnsi="仿宋" w:eastAsia="仿宋"/>
                <w:b/>
                <w:color w:val="auto"/>
                <w:szCs w:val="21"/>
              </w:rPr>
              <w:t>%</w:t>
            </w:r>
            <w:r>
              <w:rPr>
                <w:rFonts w:hint="eastAsia" w:ascii="仿宋" w:hAnsi="仿宋" w:eastAsia="仿宋"/>
                <w:b/>
                <w:color w:val="auto"/>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收盘价</w:t>
            </w:r>
          </w:p>
          <w:p>
            <w:pPr>
              <w:widowControl/>
              <w:jc w:val="center"/>
              <w:rPr>
                <w:rFonts w:ascii="仿宋" w:hAnsi="仿宋" w:eastAsia="仿宋"/>
                <w:b/>
                <w:color w:val="auto"/>
                <w:szCs w:val="21"/>
              </w:rPr>
            </w:pPr>
            <w:r>
              <w:rPr>
                <w:rFonts w:ascii="仿宋" w:hAnsi="仿宋" w:eastAsia="仿宋"/>
                <w:b/>
                <w:color w:val="auto"/>
                <w:szCs w:val="21"/>
              </w:rPr>
              <w:t>（2023-06-30）</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年涨跌幅（</w:t>
            </w:r>
            <w:r>
              <w:rPr>
                <w:rFonts w:ascii="仿宋" w:hAnsi="仿宋" w:eastAsia="仿宋"/>
                <w:b/>
                <w:color w:val="auto"/>
                <w:szCs w:val="21"/>
              </w:rPr>
              <w:t>%</w:t>
            </w:r>
            <w:r>
              <w:rPr>
                <w:rFonts w:hint="eastAsia" w:ascii="仿宋" w:hAnsi="仿宋" w:eastAsia="仿宋"/>
                <w:b/>
                <w:color w:val="auto"/>
                <w:szCs w:val="21"/>
              </w:rPr>
              <w:t>）</w:t>
            </w:r>
          </w:p>
        </w:tc>
        <w:tc>
          <w:tcPr>
            <w:tcW w:w="20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所属行业（Wind）</w:t>
            </w:r>
          </w:p>
        </w:tc>
      </w:tr>
      <w:tr>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002536.SZ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飞龙股份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41.80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15.00</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10</w:t>
            </w:r>
            <w:r>
              <w:rPr>
                <w:rFonts w:ascii="仿宋" w:hAnsi="仿宋" w:eastAsia="仿宋"/>
                <w:color w:val="auto"/>
                <w:szCs w:val="21"/>
              </w:rPr>
              <w:t>7.53</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002535.SZ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林州重机</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39.33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4.18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ascii="仿宋" w:hAnsi="仿宋" w:eastAsia="仿宋"/>
                <w:color w:val="auto"/>
                <w:szCs w:val="21"/>
              </w:rPr>
              <w:t>104.86</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688313.SH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仕佳光子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26.31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17.55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ascii="仿宋" w:hAnsi="仿宋" w:eastAsia="仿宋"/>
                <w:color w:val="auto"/>
                <w:szCs w:val="21"/>
              </w:rPr>
              <w:t>86.99</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002560.SZ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通达股份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21.43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9.52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3</w:t>
            </w:r>
            <w:r>
              <w:rPr>
                <w:rFonts w:ascii="仿宋" w:hAnsi="仿宋" w:eastAsia="仿宋"/>
                <w:color w:val="auto"/>
                <w:szCs w:val="21"/>
              </w:rPr>
              <w:t>1.82</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002046.SZ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国机精工</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17.93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12.76</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17.</w:t>
            </w:r>
            <w:r>
              <w:rPr>
                <w:rFonts w:ascii="仿宋" w:hAnsi="仿宋" w:eastAsia="仿宋"/>
                <w:color w:val="auto"/>
                <w:szCs w:val="21"/>
              </w:rPr>
              <w:t>46</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002406.SZ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远东传动</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15.33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6.32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3</w:t>
            </w:r>
            <w:r>
              <w:rPr>
                <w:rFonts w:ascii="仿宋" w:hAnsi="仿宋" w:eastAsia="仿宋"/>
                <w:color w:val="auto"/>
                <w:szCs w:val="21"/>
              </w:rPr>
              <w:t>2.98</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300807.SZ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天迈科技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14.89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29.25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ascii="仿宋" w:hAnsi="仿宋" w:eastAsia="仿宋"/>
                <w:color w:val="auto"/>
                <w:szCs w:val="21"/>
              </w:rPr>
              <w:t>52.05</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601677.SH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明泰铝业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14.07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13.88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-22.</w:t>
            </w:r>
            <w:r>
              <w:rPr>
                <w:rFonts w:ascii="仿宋" w:hAnsi="仿宋" w:eastAsia="仿宋"/>
                <w:color w:val="auto"/>
                <w:szCs w:val="21"/>
              </w:rPr>
              <w:t>19</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600066.SH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宇通客车</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13.47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14.74</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11</w:t>
            </w:r>
            <w:r>
              <w:rPr>
                <w:rFonts w:ascii="仿宋" w:hAnsi="仿宋" w:eastAsia="仿宋"/>
                <w:color w:val="auto"/>
                <w:szCs w:val="21"/>
              </w:rPr>
              <w:t>5.75</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600469.SH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风神股份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12.88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6.44</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ascii="仿宋" w:hAnsi="仿宋" w:eastAsia="仿宋"/>
                <w:color w:val="auto"/>
                <w:szCs w:val="21"/>
              </w:rPr>
              <w:t>41.40</w:t>
            </w:r>
          </w:p>
        </w:tc>
        <w:tc>
          <w:tcPr>
            <w:tcW w:w="20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可选消费</w:t>
            </w:r>
          </w:p>
        </w:tc>
      </w:tr>
    </w:tbl>
    <w:p>
      <w:pPr>
        <w:spacing w:before="156" w:beforeLines="50" w:after="156" w:afterLines="50"/>
        <w:ind w:firstLine="560" w:firstLineChars="200"/>
        <w:rPr>
          <w:rFonts w:ascii="仿宋" w:hAnsi="仿宋" w:eastAsia="仿宋"/>
          <w:color w:val="auto"/>
          <w:sz w:val="28"/>
        </w:rPr>
      </w:pPr>
      <w:r>
        <w:rPr>
          <w:rFonts w:hint="eastAsia" w:ascii="仿宋" w:hAnsi="仿宋" w:eastAsia="仿宋"/>
          <w:color w:val="auto"/>
          <w:sz w:val="28"/>
        </w:rPr>
        <w:t>跌幅前</w:t>
      </w:r>
      <w:r>
        <w:rPr>
          <w:rFonts w:ascii="仿宋" w:hAnsi="仿宋" w:eastAsia="仿宋"/>
          <w:color w:val="auto"/>
          <w:sz w:val="28"/>
        </w:rPr>
        <w:t>10位的股票中，</w:t>
      </w:r>
      <w:r>
        <w:rPr>
          <w:rFonts w:hint="eastAsia" w:ascii="仿宋" w:hAnsi="仿宋" w:eastAsia="仿宋"/>
          <w:color w:val="auto"/>
          <w:sz w:val="28"/>
        </w:rPr>
        <w:t>材料占据4席，医疗保健占据2席，日常消费、信息技术、可选消费和工业各占据1席，跌幅最大的为东方碳素，下跌23.67</w:t>
      </w:r>
      <w:r>
        <w:rPr>
          <w:rFonts w:ascii="仿宋" w:hAnsi="仿宋" w:eastAsia="仿宋"/>
          <w:color w:val="auto"/>
          <w:sz w:val="28"/>
        </w:rPr>
        <w:t>%</w:t>
      </w:r>
      <w:r>
        <w:rPr>
          <w:rFonts w:hint="eastAsia" w:ascii="仿宋" w:hAnsi="仿宋" w:eastAsia="仿宋"/>
          <w:color w:val="auto"/>
          <w:sz w:val="28"/>
        </w:rPr>
        <w:t>;其次为拓新药业，下跌18.14</w:t>
      </w:r>
      <w:r>
        <w:rPr>
          <w:rFonts w:ascii="仿宋" w:hAnsi="仿宋" w:eastAsia="仿宋"/>
          <w:color w:val="auto"/>
          <w:sz w:val="28"/>
        </w:rPr>
        <w:t>%。</w:t>
      </w:r>
    </w:p>
    <w:p>
      <w:pPr>
        <w:spacing w:after="156" w:afterLines="50"/>
        <w:jc w:val="center"/>
        <w:rPr>
          <w:rFonts w:ascii="仿宋" w:hAnsi="仿宋" w:eastAsia="仿宋"/>
          <w:b/>
          <w:color w:val="auto"/>
          <w:sz w:val="24"/>
        </w:rPr>
      </w:pPr>
      <w:r>
        <w:rPr>
          <w:rFonts w:hint="eastAsia" w:ascii="仿宋" w:hAnsi="仿宋" w:eastAsia="仿宋"/>
          <w:b/>
          <w:color w:val="auto"/>
          <w:sz w:val="24"/>
        </w:rPr>
        <w:t>表2  月跌幅前10的股票</w:t>
      </w:r>
    </w:p>
    <w:tbl>
      <w:tblPr>
        <w:tblStyle w:val="9"/>
        <w:tblW w:w="10060" w:type="dxa"/>
        <w:jc w:val="center"/>
        <w:tblLayout w:type="fixed"/>
        <w:tblCellMar>
          <w:top w:w="0" w:type="dxa"/>
          <w:left w:w="108" w:type="dxa"/>
          <w:bottom w:w="0" w:type="dxa"/>
          <w:right w:w="108" w:type="dxa"/>
        </w:tblCellMar>
      </w:tblPr>
      <w:tblGrid>
        <w:gridCol w:w="705"/>
        <w:gridCol w:w="1276"/>
        <w:gridCol w:w="1133"/>
        <w:gridCol w:w="1556"/>
        <w:gridCol w:w="1714"/>
        <w:gridCol w:w="1767"/>
        <w:gridCol w:w="1909"/>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auto"/>
                <w:szCs w:val="21"/>
              </w:rPr>
            </w:pPr>
            <w:r>
              <w:rPr>
                <w:rFonts w:hint="eastAsia" w:ascii="仿宋" w:hAnsi="仿宋" w:eastAsia="仿宋"/>
                <w:b/>
                <w:color w:val="auto"/>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auto"/>
                <w:szCs w:val="21"/>
              </w:rPr>
            </w:pPr>
            <w:r>
              <w:rPr>
                <w:rFonts w:hint="eastAsia" w:ascii="仿宋" w:hAnsi="仿宋" w:eastAsia="仿宋"/>
                <w:b/>
                <w:color w:val="auto"/>
                <w:szCs w:val="21"/>
              </w:rPr>
              <w:t>月跌幅（</w:t>
            </w:r>
            <w:r>
              <w:rPr>
                <w:rFonts w:ascii="仿宋" w:hAnsi="仿宋" w:eastAsia="仿宋"/>
                <w:b/>
                <w:color w:val="auto"/>
                <w:szCs w:val="21"/>
              </w:rPr>
              <w:t>%</w:t>
            </w:r>
            <w:r>
              <w:rPr>
                <w:rFonts w:hint="eastAsia" w:ascii="仿宋" w:hAnsi="仿宋" w:eastAsia="仿宋"/>
                <w:b/>
                <w:color w:val="auto"/>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收盘价</w:t>
            </w:r>
          </w:p>
          <w:p>
            <w:pPr>
              <w:widowControl/>
              <w:jc w:val="center"/>
              <w:rPr>
                <w:rFonts w:ascii="仿宋" w:hAnsi="仿宋" w:eastAsia="仿宋"/>
                <w:b/>
                <w:color w:val="auto"/>
                <w:szCs w:val="21"/>
              </w:rPr>
            </w:pPr>
            <w:r>
              <w:rPr>
                <w:rFonts w:ascii="仿宋" w:hAnsi="仿宋" w:eastAsia="仿宋"/>
                <w:b/>
                <w:color w:val="auto"/>
                <w:szCs w:val="21"/>
              </w:rPr>
              <w:t>（2023-06-30）</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年涨跌幅（</w:t>
            </w:r>
            <w:r>
              <w:rPr>
                <w:rFonts w:ascii="仿宋" w:hAnsi="仿宋" w:eastAsia="仿宋"/>
                <w:b/>
                <w:color w:val="auto"/>
                <w:szCs w:val="21"/>
              </w:rPr>
              <w:t>%</w:t>
            </w:r>
            <w:r>
              <w:rPr>
                <w:rFonts w:hint="eastAsia" w:ascii="仿宋" w:hAnsi="仿宋" w:eastAsia="仿宋"/>
                <w:b/>
                <w:color w:val="auto"/>
                <w:szCs w:val="21"/>
              </w:rPr>
              <w:t>）</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auto"/>
                <w:szCs w:val="21"/>
              </w:rPr>
            </w:pPr>
            <w:r>
              <w:rPr>
                <w:rFonts w:hint="eastAsia" w:ascii="仿宋" w:hAnsi="仿宋" w:eastAsia="仿宋"/>
                <w:b/>
                <w:color w:val="auto"/>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832175.BJ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东方碳素</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-23.67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9.87</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301089.SZ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拓新药业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-18.14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61.94</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w:t>
            </w:r>
            <w:r>
              <w:rPr>
                <w:rFonts w:ascii="仿宋" w:hAnsi="仿宋" w:eastAsia="仿宋"/>
                <w:color w:val="auto"/>
                <w:szCs w:val="21"/>
              </w:rPr>
              <w:t>2.86</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300910.SZ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瑞丰新材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-13.29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50.30</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w:t>
            </w:r>
            <w:r>
              <w:rPr>
                <w:rFonts w:ascii="仿宋" w:hAnsi="仿宋" w:eastAsia="仿宋"/>
                <w:color w:val="auto"/>
                <w:szCs w:val="21"/>
              </w:rPr>
              <w:t>21.54</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688119.SH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中钢洛耐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-13.22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5.58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w:t>
            </w:r>
            <w:r>
              <w:rPr>
                <w:rFonts w:ascii="仿宋" w:hAnsi="仿宋" w:eastAsia="仿宋"/>
                <w:color w:val="auto"/>
                <w:szCs w:val="21"/>
              </w:rPr>
              <w:t>8.65</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002431.SZ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棕榈股份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-10.66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2.43</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-16.78</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301376.SZ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致欧科技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-10.02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23.70</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002321.SZ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华英农业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-9.79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2.58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w:t>
            </w:r>
            <w:r>
              <w:rPr>
                <w:rFonts w:ascii="仿宋" w:hAnsi="仿宋" w:eastAsia="仿宋"/>
                <w:color w:val="auto"/>
                <w:szCs w:val="21"/>
              </w:rPr>
              <w:t>2.12</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838971.BJ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天马新材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-9.18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7.82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w:t>
            </w:r>
            <w:r>
              <w:rPr>
                <w:rFonts w:ascii="仿宋" w:hAnsi="仿宋" w:eastAsia="仿宋"/>
                <w:color w:val="auto"/>
                <w:szCs w:val="21"/>
              </w:rPr>
              <w:t>3.42</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301277.SZ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新天地</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-8.83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19.51</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ascii="仿宋" w:hAnsi="仿宋" w:eastAsia="仿宋"/>
                <w:color w:val="auto"/>
                <w:szCs w:val="21"/>
              </w:rPr>
              <w:t>3.34</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auto"/>
                <w:szCs w:val="21"/>
              </w:rPr>
            </w:pPr>
            <w:r>
              <w:rPr>
                <w:rFonts w:hint="eastAsia" w:ascii="仿宋" w:hAnsi="仿宋" w:eastAsia="仿宋"/>
                <w:color w:val="auto"/>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603508.SH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思维列控</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auto"/>
                <w:szCs w:val="21"/>
              </w:rPr>
            </w:pPr>
            <w:r>
              <w:rPr>
                <w:rFonts w:hint="eastAsia" w:ascii="仿宋" w:hAnsi="仿宋" w:eastAsia="仿宋"/>
                <w:color w:val="auto"/>
                <w:szCs w:val="21"/>
              </w:rPr>
              <w:t>-8.53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hint="eastAsia" w:ascii="仿宋" w:hAnsi="仿宋" w:eastAsia="仿宋"/>
                <w:color w:val="auto"/>
                <w:szCs w:val="21"/>
              </w:rPr>
              <w:t>17.05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auto"/>
                <w:szCs w:val="21"/>
              </w:rPr>
            </w:pPr>
            <w:r>
              <w:rPr>
                <w:rFonts w:ascii="仿宋" w:hAnsi="仿宋" w:eastAsia="仿宋"/>
                <w:color w:val="auto"/>
                <w:szCs w:val="21"/>
              </w:rPr>
              <w:t>9.90</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auto"/>
                <w:szCs w:val="21"/>
              </w:rPr>
            </w:pPr>
            <w:r>
              <w:rPr>
                <w:rFonts w:hint="eastAsia" w:ascii="仿宋" w:hAnsi="仿宋" w:eastAsia="仿宋"/>
                <w:color w:val="auto"/>
                <w:szCs w:val="21"/>
              </w:rPr>
              <w:t>信息技术</w:t>
            </w:r>
          </w:p>
        </w:tc>
      </w:tr>
    </w:tbl>
    <w:p>
      <w:pPr>
        <w:spacing w:before="156" w:beforeLines="50" w:after="156" w:afterLines="50"/>
        <w:rPr>
          <w:rFonts w:ascii="仿宋" w:hAnsi="仿宋" w:eastAsia="仿宋"/>
          <w:b/>
          <w:color w:val="auto"/>
          <w:sz w:val="28"/>
        </w:rPr>
      </w:pPr>
      <w:r>
        <w:rPr>
          <w:rFonts w:hint="eastAsia" w:ascii="仿宋" w:hAnsi="仿宋" w:eastAsia="仿宋"/>
          <w:b/>
          <w:color w:val="auto"/>
          <w:sz w:val="28"/>
        </w:rPr>
        <w:t>五、河南</w:t>
      </w:r>
      <w:r>
        <w:rPr>
          <w:rFonts w:ascii="仿宋" w:hAnsi="仿宋" w:eastAsia="仿宋"/>
          <w:b/>
          <w:color w:val="auto"/>
          <w:sz w:val="28"/>
        </w:rPr>
        <w:t>辖区</w:t>
      </w:r>
      <w:r>
        <w:rPr>
          <w:rFonts w:hint="eastAsia" w:ascii="仿宋" w:hAnsi="仿宋" w:eastAsia="仿宋"/>
          <w:b/>
          <w:color w:val="auto"/>
          <w:sz w:val="28"/>
        </w:rPr>
        <w:t>上市公司</w:t>
      </w:r>
      <w:r>
        <w:rPr>
          <w:rFonts w:hint="eastAsia" w:ascii="仿宋" w:hAnsi="仿宋" w:eastAsia="仿宋"/>
          <w:b/>
          <w:color w:val="auto"/>
          <w:sz w:val="28"/>
          <w:lang w:val="en-US" w:eastAsia="zh-CN"/>
        </w:rPr>
        <w:t>六</w:t>
      </w:r>
      <w:r>
        <w:rPr>
          <w:rFonts w:ascii="仿宋" w:hAnsi="仿宋" w:eastAsia="仿宋"/>
          <w:b/>
          <w:color w:val="auto"/>
          <w:sz w:val="28"/>
        </w:rPr>
        <w:t>月重大事项</w:t>
      </w:r>
    </w:p>
    <w:p>
      <w:pPr>
        <w:spacing w:before="156" w:beforeLines="50" w:after="156" w:afterLines="50"/>
        <w:ind w:firstLine="562" w:firstLineChars="200"/>
        <w:rPr>
          <w:rFonts w:ascii="仿宋" w:hAnsi="仿宋" w:eastAsia="仿宋"/>
          <w:b/>
          <w:color w:val="auto"/>
          <w:sz w:val="28"/>
          <w:szCs w:val="30"/>
        </w:rPr>
      </w:pPr>
      <w:r>
        <w:rPr>
          <w:rFonts w:hint="eastAsia" w:ascii="仿宋" w:hAnsi="仿宋" w:eastAsia="仿宋"/>
          <w:b/>
          <w:color w:val="auto"/>
          <w:sz w:val="28"/>
          <w:szCs w:val="30"/>
        </w:rPr>
        <w:t>1.IPO相关</w:t>
      </w:r>
    </w:p>
    <w:p>
      <w:pPr>
        <w:spacing w:before="156" w:beforeLines="50" w:after="156" w:afterLines="50"/>
        <w:jc w:val="center"/>
        <w:rPr>
          <w:rFonts w:ascii="仿宋" w:hAnsi="仿宋" w:eastAsia="仿宋"/>
          <w:b/>
          <w:color w:val="auto"/>
          <w:sz w:val="24"/>
        </w:rPr>
      </w:pPr>
      <w:r>
        <w:rPr>
          <w:rFonts w:hint="eastAsia" w:ascii="仿宋" w:hAnsi="仿宋" w:eastAsia="仿宋"/>
          <w:b/>
          <w:color w:val="auto"/>
          <w:sz w:val="24"/>
        </w:rPr>
        <w:t>表3  IPO相关情况</w:t>
      </w:r>
    </w:p>
    <w:tbl>
      <w:tblPr>
        <w:tblStyle w:val="9"/>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992"/>
        <w:gridCol w:w="3260"/>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b/>
                <w:color w:val="auto"/>
                <w:szCs w:val="21"/>
              </w:rPr>
            </w:pPr>
            <w:r>
              <w:rPr>
                <w:rFonts w:hint="eastAsia" w:ascii="仿宋" w:hAnsi="仿宋" w:eastAsia="仿宋"/>
                <w:b/>
                <w:color w:val="auto"/>
                <w:szCs w:val="21"/>
              </w:rPr>
              <w:t>序号</w:t>
            </w:r>
          </w:p>
        </w:tc>
        <w:tc>
          <w:tcPr>
            <w:tcW w:w="851" w:type="dxa"/>
            <w:vAlign w:val="center"/>
          </w:tcPr>
          <w:p>
            <w:pPr>
              <w:jc w:val="center"/>
              <w:rPr>
                <w:rFonts w:ascii="仿宋" w:hAnsi="仿宋" w:eastAsia="仿宋"/>
                <w:b/>
                <w:color w:val="auto"/>
                <w:szCs w:val="21"/>
              </w:rPr>
            </w:pPr>
            <w:r>
              <w:rPr>
                <w:rFonts w:hint="eastAsia" w:ascii="仿宋" w:hAnsi="仿宋" w:eastAsia="仿宋"/>
                <w:b/>
                <w:color w:val="auto"/>
                <w:szCs w:val="21"/>
              </w:rPr>
              <w:t>交易所</w:t>
            </w:r>
          </w:p>
        </w:tc>
        <w:tc>
          <w:tcPr>
            <w:tcW w:w="992" w:type="dxa"/>
            <w:vAlign w:val="center"/>
          </w:tcPr>
          <w:p>
            <w:pPr>
              <w:jc w:val="center"/>
              <w:rPr>
                <w:rFonts w:ascii="仿宋" w:hAnsi="仿宋" w:eastAsia="仿宋"/>
                <w:b/>
                <w:color w:val="auto"/>
                <w:szCs w:val="21"/>
              </w:rPr>
            </w:pPr>
            <w:r>
              <w:rPr>
                <w:rFonts w:hint="eastAsia" w:ascii="仿宋" w:hAnsi="仿宋" w:eastAsia="仿宋"/>
                <w:b/>
                <w:color w:val="auto"/>
                <w:szCs w:val="21"/>
              </w:rPr>
              <w:t>板块</w:t>
            </w:r>
          </w:p>
        </w:tc>
        <w:tc>
          <w:tcPr>
            <w:tcW w:w="3260" w:type="dxa"/>
            <w:vAlign w:val="center"/>
          </w:tcPr>
          <w:p>
            <w:pPr>
              <w:jc w:val="center"/>
              <w:rPr>
                <w:rFonts w:ascii="仿宋" w:hAnsi="仿宋" w:eastAsia="仿宋"/>
                <w:b/>
                <w:color w:val="auto"/>
                <w:szCs w:val="21"/>
              </w:rPr>
            </w:pPr>
            <w:r>
              <w:rPr>
                <w:rFonts w:hint="eastAsia" w:ascii="仿宋" w:hAnsi="仿宋" w:eastAsia="仿宋"/>
                <w:b/>
                <w:color w:val="auto"/>
                <w:szCs w:val="21"/>
              </w:rPr>
              <w:t>公司名称</w:t>
            </w:r>
          </w:p>
        </w:tc>
        <w:tc>
          <w:tcPr>
            <w:tcW w:w="1276" w:type="dxa"/>
            <w:vAlign w:val="center"/>
          </w:tcPr>
          <w:p>
            <w:pPr>
              <w:jc w:val="center"/>
              <w:rPr>
                <w:rFonts w:ascii="仿宋" w:hAnsi="仿宋" w:eastAsia="仿宋"/>
                <w:b/>
                <w:color w:val="auto"/>
                <w:szCs w:val="21"/>
              </w:rPr>
            </w:pPr>
            <w:r>
              <w:rPr>
                <w:rFonts w:ascii="仿宋" w:hAnsi="仿宋" w:eastAsia="仿宋"/>
                <w:b/>
                <w:color w:val="auto"/>
                <w:szCs w:val="21"/>
              </w:rPr>
              <w:t>状态</w:t>
            </w:r>
          </w:p>
        </w:tc>
        <w:tc>
          <w:tcPr>
            <w:tcW w:w="1276" w:type="dxa"/>
            <w:vAlign w:val="center"/>
          </w:tcPr>
          <w:p>
            <w:pPr>
              <w:jc w:val="center"/>
              <w:rPr>
                <w:rFonts w:ascii="仿宋" w:hAnsi="仿宋" w:eastAsia="仿宋"/>
                <w:b/>
                <w:color w:val="auto"/>
                <w:szCs w:val="21"/>
              </w:rPr>
            </w:pPr>
            <w:r>
              <w:rPr>
                <w:rFonts w:hint="eastAsia" w:ascii="仿宋" w:hAnsi="仿宋" w:eastAsia="仿宋"/>
                <w:b/>
                <w:color w:val="auto"/>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b/>
                <w:color w:val="auto"/>
                <w:szCs w:val="21"/>
              </w:rPr>
            </w:pPr>
            <w:r>
              <w:rPr>
                <w:rFonts w:hint="eastAsia" w:ascii="仿宋" w:hAnsi="仿宋" w:eastAsia="仿宋"/>
                <w:color w:val="auto"/>
                <w:szCs w:val="21"/>
              </w:rPr>
              <w:t>1</w:t>
            </w:r>
          </w:p>
        </w:tc>
        <w:tc>
          <w:tcPr>
            <w:tcW w:w="851" w:type="dxa"/>
            <w:vAlign w:val="center"/>
          </w:tcPr>
          <w:p>
            <w:pPr>
              <w:jc w:val="center"/>
              <w:rPr>
                <w:rFonts w:ascii="仿宋" w:hAnsi="仿宋" w:eastAsia="仿宋"/>
                <w:color w:val="auto"/>
                <w:szCs w:val="21"/>
              </w:rPr>
            </w:pPr>
            <w:r>
              <w:rPr>
                <w:rFonts w:hint="eastAsia" w:ascii="仿宋" w:hAnsi="仿宋" w:eastAsia="仿宋"/>
                <w:color w:val="auto"/>
                <w:szCs w:val="21"/>
              </w:rPr>
              <w:t>深交所</w:t>
            </w:r>
          </w:p>
        </w:tc>
        <w:tc>
          <w:tcPr>
            <w:tcW w:w="992" w:type="dxa"/>
            <w:vAlign w:val="center"/>
          </w:tcPr>
          <w:p>
            <w:pPr>
              <w:jc w:val="center"/>
              <w:rPr>
                <w:rFonts w:ascii="仿宋" w:hAnsi="仿宋" w:eastAsia="仿宋"/>
                <w:color w:val="auto"/>
                <w:szCs w:val="21"/>
              </w:rPr>
            </w:pPr>
            <w:r>
              <w:rPr>
                <w:rFonts w:hint="eastAsia" w:ascii="仿宋" w:hAnsi="仿宋" w:eastAsia="仿宋"/>
                <w:color w:val="auto"/>
                <w:szCs w:val="21"/>
              </w:rPr>
              <w:t>创业板</w:t>
            </w:r>
          </w:p>
        </w:tc>
        <w:tc>
          <w:tcPr>
            <w:tcW w:w="3260" w:type="dxa"/>
            <w:vAlign w:val="center"/>
          </w:tcPr>
          <w:p>
            <w:pPr>
              <w:jc w:val="center"/>
              <w:rPr>
                <w:rFonts w:ascii="仿宋" w:hAnsi="仿宋" w:eastAsia="仿宋"/>
                <w:color w:val="auto"/>
                <w:szCs w:val="21"/>
              </w:rPr>
            </w:pPr>
            <w:r>
              <w:rPr>
                <w:rFonts w:hint="eastAsia" w:ascii="仿宋" w:hAnsi="仿宋" w:eastAsia="仿宋"/>
                <w:color w:val="auto"/>
                <w:szCs w:val="21"/>
              </w:rPr>
              <w:t>致欧家居科技股份有限公司</w:t>
            </w:r>
          </w:p>
        </w:tc>
        <w:tc>
          <w:tcPr>
            <w:tcW w:w="1276" w:type="dxa"/>
            <w:vAlign w:val="center"/>
          </w:tcPr>
          <w:p>
            <w:pPr>
              <w:jc w:val="center"/>
              <w:rPr>
                <w:rFonts w:ascii="仿宋" w:hAnsi="仿宋" w:eastAsia="仿宋"/>
                <w:color w:val="auto"/>
                <w:szCs w:val="21"/>
              </w:rPr>
            </w:pPr>
            <w:r>
              <w:rPr>
                <w:rFonts w:ascii="仿宋" w:hAnsi="仿宋" w:eastAsia="仿宋"/>
                <w:color w:val="auto"/>
                <w:szCs w:val="21"/>
              </w:rPr>
              <w:t>上市</w:t>
            </w:r>
          </w:p>
        </w:tc>
        <w:tc>
          <w:tcPr>
            <w:tcW w:w="1276" w:type="dxa"/>
            <w:vAlign w:val="center"/>
          </w:tcPr>
          <w:p>
            <w:pPr>
              <w:jc w:val="center"/>
              <w:rPr>
                <w:rFonts w:ascii="仿宋" w:hAnsi="仿宋" w:eastAsia="仿宋"/>
                <w:color w:val="auto"/>
                <w:szCs w:val="21"/>
              </w:rPr>
            </w:pPr>
            <w:r>
              <w:rPr>
                <w:rFonts w:hint="eastAsia" w:ascii="仿宋" w:hAnsi="仿宋" w:eastAsia="仿宋"/>
                <w:color w:val="auto"/>
                <w:szCs w:val="21"/>
              </w:rPr>
              <w:t>2023-06-21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04" w:type="dxa"/>
            <w:vAlign w:val="center"/>
          </w:tcPr>
          <w:p>
            <w:pPr>
              <w:jc w:val="center"/>
              <w:rPr>
                <w:rFonts w:ascii="仿宋" w:hAnsi="仿宋" w:eastAsia="仿宋"/>
                <w:b/>
                <w:color w:val="auto"/>
                <w:szCs w:val="21"/>
              </w:rPr>
            </w:pPr>
            <w:r>
              <w:rPr>
                <w:rFonts w:hint="eastAsia" w:ascii="仿宋" w:hAnsi="仿宋" w:eastAsia="仿宋"/>
                <w:color w:val="auto"/>
                <w:szCs w:val="21"/>
              </w:rPr>
              <w:t>2</w:t>
            </w:r>
          </w:p>
        </w:tc>
        <w:tc>
          <w:tcPr>
            <w:tcW w:w="851" w:type="dxa"/>
            <w:vAlign w:val="center"/>
          </w:tcPr>
          <w:p>
            <w:pPr>
              <w:jc w:val="center"/>
              <w:rPr>
                <w:rFonts w:ascii="仿宋" w:hAnsi="仿宋" w:eastAsia="仿宋"/>
                <w:color w:val="auto"/>
                <w:szCs w:val="21"/>
              </w:rPr>
            </w:pPr>
            <w:r>
              <w:rPr>
                <w:rFonts w:hint="eastAsia" w:ascii="仿宋" w:hAnsi="仿宋" w:eastAsia="仿宋"/>
                <w:color w:val="auto"/>
                <w:szCs w:val="21"/>
              </w:rPr>
              <w:t>北交所</w:t>
            </w:r>
          </w:p>
        </w:tc>
        <w:tc>
          <w:tcPr>
            <w:tcW w:w="992" w:type="dxa"/>
            <w:vAlign w:val="center"/>
          </w:tcPr>
          <w:p>
            <w:pPr>
              <w:jc w:val="center"/>
              <w:rPr>
                <w:rFonts w:ascii="仿宋" w:hAnsi="仿宋" w:eastAsia="仿宋"/>
                <w:color w:val="auto"/>
                <w:szCs w:val="21"/>
              </w:rPr>
            </w:pPr>
            <w:r>
              <w:rPr>
                <w:rFonts w:hint="eastAsia" w:ascii="仿宋" w:hAnsi="仿宋" w:eastAsia="仿宋"/>
                <w:color w:val="auto"/>
                <w:szCs w:val="21"/>
              </w:rPr>
              <w:t>北证</w:t>
            </w:r>
          </w:p>
        </w:tc>
        <w:tc>
          <w:tcPr>
            <w:tcW w:w="3260" w:type="dxa"/>
            <w:vAlign w:val="center"/>
          </w:tcPr>
          <w:p>
            <w:pPr>
              <w:jc w:val="center"/>
              <w:rPr>
                <w:rFonts w:ascii="仿宋" w:hAnsi="仿宋" w:eastAsia="仿宋"/>
                <w:color w:val="auto"/>
                <w:szCs w:val="21"/>
              </w:rPr>
            </w:pPr>
            <w:r>
              <w:rPr>
                <w:rFonts w:hint="eastAsia" w:ascii="仿宋" w:hAnsi="仿宋" w:eastAsia="仿宋"/>
                <w:color w:val="auto"/>
                <w:szCs w:val="21"/>
              </w:rPr>
              <w:t>平顶山东方碳素股份有限公司</w:t>
            </w:r>
          </w:p>
        </w:tc>
        <w:tc>
          <w:tcPr>
            <w:tcW w:w="1276" w:type="dxa"/>
            <w:vAlign w:val="center"/>
          </w:tcPr>
          <w:p>
            <w:pPr>
              <w:jc w:val="center"/>
              <w:rPr>
                <w:rFonts w:ascii="仿宋" w:hAnsi="仿宋" w:eastAsia="仿宋"/>
                <w:color w:val="auto"/>
                <w:szCs w:val="21"/>
              </w:rPr>
            </w:pPr>
            <w:r>
              <w:rPr>
                <w:rFonts w:ascii="仿宋" w:hAnsi="仿宋" w:eastAsia="仿宋"/>
                <w:color w:val="auto"/>
                <w:szCs w:val="21"/>
              </w:rPr>
              <w:t>上市</w:t>
            </w:r>
          </w:p>
        </w:tc>
        <w:tc>
          <w:tcPr>
            <w:tcW w:w="1276" w:type="dxa"/>
            <w:vAlign w:val="center"/>
          </w:tcPr>
          <w:p>
            <w:pPr>
              <w:jc w:val="center"/>
              <w:rPr>
                <w:rFonts w:ascii="仿宋" w:hAnsi="仿宋" w:eastAsia="仿宋"/>
                <w:color w:val="auto"/>
                <w:szCs w:val="21"/>
              </w:rPr>
            </w:pPr>
            <w:r>
              <w:rPr>
                <w:rFonts w:hint="eastAsia" w:ascii="仿宋" w:hAnsi="仿宋" w:eastAsia="仿宋"/>
                <w:color w:val="auto"/>
                <w:szCs w:val="21"/>
              </w:rPr>
              <w:t>2023-06-30</w:t>
            </w:r>
          </w:p>
        </w:tc>
      </w:tr>
    </w:tbl>
    <w:p>
      <w:pPr>
        <w:spacing w:before="156" w:beforeLines="50" w:after="156" w:afterLines="50"/>
        <w:ind w:firstLine="562" w:firstLineChars="200"/>
        <w:rPr>
          <w:rFonts w:ascii="仿宋" w:hAnsi="仿宋" w:eastAsia="仿宋"/>
          <w:b/>
          <w:color w:val="auto"/>
          <w:sz w:val="28"/>
          <w:szCs w:val="30"/>
        </w:rPr>
      </w:pPr>
      <w:r>
        <w:rPr>
          <w:rFonts w:hint="eastAsia" w:ascii="仿宋" w:hAnsi="仿宋" w:eastAsia="仿宋"/>
          <w:b/>
          <w:color w:val="auto"/>
          <w:sz w:val="28"/>
          <w:szCs w:val="30"/>
        </w:rPr>
        <w:t>2.资本运作</w:t>
      </w:r>
    </w:p>
    <w:p>
      <w:pPr>
        <w:spacing w:before="156" w:beforeLines="50" w:after="156" w:afterLines="50"/>
        <w:ind w:firstLine="560" w:firstLineChars="200"/>
        <w:rPr>
          <w:rFonts w:ascii="仿宋" w:hAnsi="仿宋" w:eastAsia="仿宋"/>
          <w:color w:val="auto"/>
          <w:sz w:val="28"/>
        </w:rPr>
      </w:pPr>
      <w:r>
        <w:rPr>
          <w:rFonts w:hint="eastAsia" w:ascii="仿宋" w:hAnsi="仿宋" w:eastAsia="仿宋"/>
          <w:color w:val="auto"/>
          <w:sz w:val="28"/>
        </w:rPr>
        <w:t>本月无再融资实施完成事项。</w:t>
      </w:r>
    </w:p>
    <w:p>
      <w:pPr>
        <w:spacing w:before="156" w:beforeLines="50" w:after="156" w:afterLines="50"/>
        <w:jc w:val="center"/>
        <w:rPr>
          <w:rFonts w:ascii="仿宋" w:hAnsi="仿宋" w:eastAsia="仿宋"/>
          <w:b/>
          <w:color w:val="auto"/>
          <w:sz w:val="24"/>
        </w:rPr>
      </w:pPr>
      <w:r>
        <w:rPr>
          <w:rFonts w:ascii="仿宋" w:hAnsi="仿宋" w:eastAsia="仿宋"/>
          <w:b/>
          <w:color w:val="auto"/>
          <w:sz w:val="24"/>
        </w:rPr>
        <w:t>表4  对外投资事项</w:t>
      </w:r>
    </w:p>
    <w:tbl>
      <w:tblPr>
        <w:tblStyle w:val="9"/>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1161"/>
        <w:gridCol w:w="1134"/>
        <w:gridCol w:w="5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color w:val="auto"/>
                <w:szCs w:val="21"/>
              </w:rPr>
            </w:pPr>
            <w:r>
              <w:rPr>
                <w:rFonts w:hint="eastAsia" w:ascii="仿宋" w:hAnsi="仿宋" w:eastAsia="仿宋"/>
                <w:b/>
                <w:color w:val="auto"/>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披露日期</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证券代码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证券名称</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2023-06-30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新天地</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本次继续使用暂时闲置募集资金购买结构性存款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2023-06-29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301089.SZ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拓新药业</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近日，公司使用部分闲置募集资金进行现金管理。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2023-06-20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新天地</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本次继续使用暂时闲置募集资金购买结构性存款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2023-06-20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002857.SZ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三晖电气</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公司近日使用自有资金进行现金管理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2023-06-14</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300259.SZ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新天科技</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近期公司购买了一批理财产品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2023-06-14</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301182.SZ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凯旺科技</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近日公司使用部分闲置募集资金进行现金管理的产品已到期赎回，并继续使用闲置募集资金进行现金管理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2023-06-10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002560.SZ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通达股份</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近日，公司（含下属全资子公司）使用部分暂时闲置募集资金进行了现金管理。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2023-06-08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新天地</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继续购买结构性存款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2023-06-08</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众智科技</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近日，公司在上述使用期限及额度内使用部分自有资金认购了理财产品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color w:val="auto"/>
                <w:szCs w:val="21"/>
              </w:rPr>
              <w:t>2023-06-03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002857.SZ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三晖电气</w:t>
            </w:r>
          </w:p>
        </w:tc>
        <w:tc>
          <w:tcPr>
            <w:tcW w:w="5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公司近日使用自有资金进行现金管理</w:t>
            </w:r>
          </w:p>
        </w:tc>
      </w:tr>
    </w:tbl>
    <w:p>
      <w:pPr>
        <w:spacing w:before="156" w:beforeLines="50" w:after="156" w:afterLines="50"/>
        <w:jc w:val="center"/>
        <w:rPr>
          <w:rFonts w:ascii="仿宋" w:hAnsi="仿宋" w:eastAsia="仿宋"/>
          <w:b/>
          <w:color w:val="auto"/>
          <w:sz w:val="24"/>
        </w:rPr>
      </w:pPr>
      <w:r>
        <w:rPr>
          <w:rFonts w:hint="eastAsia" w:ascii="仿宋" w:hAnsi="仿宋" w:eastAsia="仿宋"/>
          <w:b/>
          <w:color w:val="auto"/>
          <w:sz w:val="24"/>
        </w:rPr>
        <w:t>表5　再融资预案披露事项</w:t>
      </w:r>
    </w:p>
    <w:tbl>
      <w:tblPr>
        <w:tblStyle w:val="9"/>
        <w:tblW w:w="10893" w:type="dxa"/>
        <w:jc w:val="center"/>
        <w:tblLayout w:type="fixed"/>
        <w:tblCellMar>
          <w:top w:w="0" w:type="dxa"/>
          <w:left w:w="108" w:type="dxa"/>
          <w:bottom w:w="0" w:type="dxa"/>
          <w:right w:w="108" w:type="dxa"/>
        </w:tblCellMar>
      </w:tblPr>
      <w:tblGrid>
        <w:gridCol w:w="773"/>
        <w:gridCol w:w="1363"/>
        <w:gridCol w:w="1363"/>
        <w:gridCol w:w="1177"/>
        <w:gridCol w:w="1081"/>
        <w:gridCol w:w="1081"/>
        <w:gridCol w:w="1081"/>
        <w:gridCol w:w="1369"/>
        <w:gridCol w:w="1605"/>
      </w:tblGrid>
      <w:tr>
        <w:tblPrEx>
          <w:tblCellMar>
            <w:top w:w="0" w:type="dxa"/>
            <w:left w:w="108" w:type="dxa"/>
            <w:bottom w:w="0" w:type="dxa"/>
            <w:right w:w="108" w:type="dxa"/>
          </w:tblCellMar>
        </w:tblPrEx>
        <w:trPr>
          <w:trHeight w:val="27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序号</w:t>
            </w:r>
          </w:p>
        </w:tc>
        <w:tc>
          <w:tcPr>
            <w:tcW w:w="136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预案公告日</w:t>
            </w:r>
          </w:p>
        </w:tc>
        <w:tc>
          <w:tcPr>
            <w:tcW w:w="136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最新披露日</w:t>
            </w:r>
          </w:p>
        </w:tc>
        <w:tc>
          <w:tcPr>
            <w:tcW w:w="11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证券代码</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证券名称</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color w:val="auto"/>
                <w:szCs w:val="21"/>
              </w:rPr>
            </w:pPr>
            <w:r>
              <w:rPr>
                <w:rFonts w:hint="eastAsia" w:ascii="仿宋" w:hAnsi="仿宋" w:eastAsia="仿宋"/>
                <w:b/>
                <w:color w:val="auto"/>
                <w:szCs w:val="21"/>
              </w:rPr>
              <w:t>事项类型</w:t>
            </w:r>
          </w:p>
        </w:tc>
        <w:tc>
          <w:tcPr>
            <w:tcW w:w="1081" w:type="dxa"/>
            <w:tcBorders>
              <w:top w:val="single" w:color="auto" w:sz="4" w:space="0"/>
              <w:left w:val="nil"/>
              <w:bottom w:val="single" w:color="auto" w:sz="4" w:space="0"/>
              <w:right w:val="single" w:color="auto" w:sz="4" w:space="0"/>
            </w:tcBorders>
            <w:vAlign w:val="center"/>
          </w:tcPr>
          <w:p>
            <w:pPr>
              <w:jc w:val="center"/>
              <w:rPr>
                <w:rFonts w:ascii="仿宋" w:hAnsi="仿宋" w:eastAsia="仿宋"/>
                <w:b/>
                <w:color w:val="auto"/>
                <w:szCs w:val="21"/>
              </w:rPr>
            </w:pPr>
            <w:r>
              <w:rPr>
                <w:rFonts w:hint="eastAsia" w:ascii="仿宋" w:hAnsi="仿宋" w:eastAsia="仿宋"/>
                <w:b/>
                <w:color w:val="auto"/>
                <w:szCs w:val="21"/>
              </w:rPr>
              <w:t>定向增发目的</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方案进度</w:t>
            </w:r>
          </w:p>
        </w:tc>
        <w:tc>
          <w:tcPr>
            <w:tcW w:w="160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预计募集资金</w:t>
            </w:r>
          </w:p>
          <w:p>
            <w:pPr>
              <w:jc w:val="center"/>
              <w:rPr>
                <w:rFonts w:ascii="仿宋" w:hAnsi="仿宋" w:eastAsia="仿宋"/>
                <w:b/>
                <w:color w:val="auto"/>
                <w:szCs w:val="21"/>
              </w:rPr>
            </w:pPr>
            <w:r>
              <w:rPr>
                <w:rFonts w:hint="eastAsia" w:ascii="仿宋" w:hAnsi="仿宋" w:eastAsia="仿宋"/>
                <w:b/>
                <w:color w:val="auto"/>
                <w:szCs w:val="21"/>
              </w:rPr>
              <w:t>(亿元)</w:t>
            </w:r>
          </w:p>
        </w:tc>
      </w:tr>
      <w:tr>
        <w:tblPrEx>
          <w:tblCellMar>
            <w:top w:w="0" w:type="dxa"/>
            <w:left w:w="108" w:type="dxa"/>
            <w:bottom w:w="0" w:type="dxa"/>
            <w:right w:w="108" w:type="dxa"/>
          </w:tblCellMar>
        </w:tblPrEx>
        <w:trPr>
          <w:trHeight w:val="270" w:hRule="atLeast"/>
          <w:jc w:val="center"/>
        </w:trPr>
        <w:tc>
          <w:tcPr>
            <w:tcW w:w="77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ascii="仿宋" w:hAnsi="仿宋" w:eastAsia="仿宋"/>
                <w:color w:val="auto"/>
                <w:szCs w:val="21"/>
              </w:rPr>
              <w:t>1</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2023-06-09</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2023-06-28</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838402.BJ</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硅烷科技</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补充流动资金</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股东大会通过</w:t>
            </w:r>
          </w:p>
        </w:tc>
        <w:tc>
          <w:tcPr>
            <w:tcW w:w="16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10.00</w:t>
            </w:r>
          </w:p>
        </w:tc>
      </w:tr>
      <w:tr>
        <w:tblPrEx>
          <w:tblCellMar>
            <w:top w:w="0" w:type="dxa"/>
            <w:left w:w="108" w:type="dxa"/>
            <w:bottom w:w="0" w:type="dxa"/>
            <w:right w:w="108" w:type="dxa"/>
          </w:tblCellMar>
        </w:tblPrEx>
        <w:trPr>
          <w:trHeight w:val="270" w:hRule="atLeast"/>
          <w:jc w:val="center"/>
        </w:trPr>
        <w:tc>
          <w:tcPr>
            <w:tcW w:w="77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ascii="仿宋" w:hAnsi="仿宋" w:eastAsia="仿宋"/>
                <w:color w:val="auto"/>
                <w:szCs w:val="21"/>
              </w:rPr>
              <w:t>2</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2023-06-07</w:t>
            </w:r>
          </w:p>
        </w:tc>
        <w:tc>
          <w:tcPr>
            <w:tcW w:w="13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2023-06-07</w:t>
            </w:r>
          </w:p>
        </w:tc>
        <w:tc>
          <w:tcPr>
            <w:tcW w:w="11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300807.SZ</w:t>
            </w:r>
          </w:p>
        </w:tc>
        <w:tc>
          <w:tcPr>
            <w:tcW w:w="1081"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天迈科技</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增发</w:t>
            </w:r>
          </w:p>
        </w:tc>
        <w:tc>
          <w:tcPr>
            <w:tcW w:w="10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项目融资</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董事会预案</w:t>
            </w:r>
          </w:p>
        </w:tc>
        <w:tc>
          <w:tcPr>
            <w:tcW w:w="16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1.15</w:t>
            </w:r>
          </w:p>
        </w:tc>
      </w:tr>
    </w:tbl>
    <w:p>
      <w:pPr>
        <w:spacing w:before="156" w:beforeLines="50" w:after="156" w:afterLines="50"/>
        <w:jc w:val="center"/>
        <w:rPr>
          <w:rFonts w:ascii="仿宋" w:hAnsi="仿宋" w:eastAsia="仿宋"/>
          <w:b/>
          <w:color w:val="auto"/>
          <w:sz w:val="24"/>
        </w:rPr>
      </w:pPr>
      <w:r>
        <w:rPr>
          <w:rFonts w:ascii="仿宋" w:hAnsi="仿宋" w:eastAsia="仿宋"/>
          <w:b/>
          <w:color w:val="auto"/>
          <w:sz w:val="24"/>
        </w:rPr>
        <w:t>表6　上市公司重大资产重组事项</w:t>
      </w:r>
    </w:p>
    <w:tbl>
      <w:tblPr>
        <w:tblStyle w:val="9"/>
        <w:tblW w:w="10466" w:type="dxa"/>
        <w:jc w:val="center"/>
        <w:tblLayout w:type="fixed"/>
        <w:tblCellMar>
          <w:top w:w="0" w:type="dxa"/>
          <w:left w:w="108" w:type="dxa"/>
          <w:bottom w:w="0" w:type="dxa"/>
          <w:right w:w="108" w:type="dxa"/>
        </w:tblCellMar>
      </w:tblPr>
      <w:tblGrid>
        <w:gridCol w:w="818"/>
        <w:gridCol w:w="1111"/>
        <w:gridCol w:w="1227"/>
        <w:gridCol w:w="1347"/>
        <w:gridCol w:w="1347"/>
        <w:gridCol w:w="1347"/>
        <w:gridCol w:w="1446"/>
        <w:gridCol w:w="1823"/>
      </w:tblGrid>
      <w:tr>
        <w:tblPrEx>
          <w:tblCellMar>
            <w:top w:w="0" w:type="dxa"/>
            <w:left w:w="108" w:type="dxa"/>
            <w:bottom w:w="0" w:type="dxa"/>
            <w:right w:w="108" w:type="dxa"/>
          </w:tblCellMar>
        </w:tblPrEx>
        <w:trPr>
          <w:trHeight w:val="270" w:hRule="atLeast"/>
          <w:jc w:val="center"/>
        </w:trPr>
        <w:tc>
          <w:tcPr>
            <w:tcW w:w="8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color w:val="auto"/>
              </w:rPr>
            </w:pPr>
            <w:r>
              <w:rPr>
                <w:rFonts w:hint="eastAsia" w:ascii="仿宋" w:hAnsi="仿宋" w:eastAsia="仿宋"/>
                <w:b/>
                <w:color w:val="auto"/>
              </w:rPr>
              <w:t>序号</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证券代码</w:t>
            </w:r>
          </w:p>
        </w:tc>
        <w:tc>
          <w:tcPr>
            <w:tcW w:w="122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证券名称</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最新披露</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首次披露</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参与方角色</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重组进度</w:t>
            </w:r>
          </w:p>
        </w:tc>
        <w:tc>
          <w:tcPr>
            <w:tcW w:w="182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rPr>
            </w:pPr>
            <w:r>
              <w:rPr>
                <w:rFonts w:hint="eastAsia" w:ascii="仿宋" w:hAnsi="仿宋" w:eastAsia="仿宋"/>
                <w:b/>
                <w:color w:val="auto"/>
              </w:rPr>
              <w:t>重组事件</w:t>
            </w:r>
          </w:p>
        </w:tc>
      </w:tr>
      <w:tr>
        <w:tblPrEx>
          <w:tblCellMar>
            <w:top w:w="0" w:type="dxa"/>
            <w:left w:w="108" w:type="dxa"/>
            <w:bottom w:w="0" w:type="dxa"/>
            <w:right w:w="108" w:type="dxa"/>
          </w:tblCellMar>
        </w:tblPrEx>
        <w:trPr>
          <w:trHeight w:val="27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w:t>
            </w:r>
          </w:p>
        </w:tc>
        <w:tc>
          <w:tcPr>
            <w:tcW w:w="11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300701.SZ</w:t>
            </w:r>
          </w:p>
        </w:tc>
        <w:tc>
          <w:tcPr>
            <w:tcW w:w="122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森霸传感</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2023-06-20</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2023-05-23</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竞买方</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董事会预案</w:t>
            </w:r>
          </w:p>
        </w:tc>
        <w:tc>
          <w:tcPr>
            <w:tcW w:w="1823"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森霸传感收购格林通67%股权。</w:t>
            </w:r>
          </w:p>
        </w:tc>
      </w:tr>
    </w:tbl>
    <w:p>
      <w:pPr>
        <w:spacing w:before="156" w:beforeLines="50" w:after="120"/>
        <w:ind w:firstLine="562" w:firstLineChars="200"/>
        <w:rPr>
          <w:rFonts w:ascii="仿宋" w:hAnsi="仿宋" w:eastAsia="仿宋"/>
          <w:b/>
          <w:color w:val="auto"/>
          <w:sz w:val="28"/>
          <w:szCs w:val="30"/>
        </w:rPr>
      </w:pPr>
      <w:r>
        <w:rPr>
          <w:rFonts w:ascii="仿宋" w:hAnsi="仿宋" w:eastAsia="仿宋"/>
          <w:b/>
          <w:color w:val="auto"/>
          <w:sz w:val="28"/>
          <w:szCs w:val="30"/>
        </w:rPr>
        <w:t>3.业绩与分红</w:t>
      </w:r>
    </w:p>
    <w:p>
      <w:pPr>
        <w:spacing w:before="312" w:beforeLines="100" w:after="156" w:afterLines="50"/>
        <w:ind w:firstLine="560" w:firstLineChars="200"/>
        <w:rPr>
          <w:rFonts w:ascii="仿宋" w:hAnsi="仿宋" w:eastAsia="仿宋"/>
          <w:color w:val="auto"/>
          <w:sz w:val="28"/>
        </w:rPr>
      </w:pPr>
      <w:r>
        <w:rPr>
          <w:rFonts w:ascii="仿宋" w:hAnsi="仿宋" w:eastAsia="仿宋"/>
          <w:color w:val="auto"/>
          <w:sz w:val="28"/>
        </w:rPr>
        <w:t>本月辖区内披露业绩预告/快报</w:t>
      </w:r>
      <w:r>
        <w:rPr>
          <w:rFonts w:hint="eastAsia" w:ascii="仿宋" w:hAnsi="仿宋" w:eastAsia="仿宋"/>
          <w:color w:val="auto"/>
          <w:sz w:val="28"/>
        </w:rPr>
        <w:t>的上市公司共1</w:t>
      </w:r>
      <w:r>
        <w:rPr>
          <w:rFonts w:ascii="仿宋" w:hAnsi="仿宋" w:eastAsia="仿宋"/>
          <w:color w:val="auto"/>
          <w:sz w:val="28"/>
        </w:rPr>
        <w:t>家，其中，</w:t>
      </w:r>
      <w:r>
        <w:rPr>
          <w:rFonts w:hint="eastAsia" w:ascii="仿宋" w:hAnsi="仿宋" w:eastAsia="仿宋"/>
          <w:color w:val="auto"/>
          <w:sz w:val="28"/>
        </w:rPr>
        <w:t>1家上市公司披露业绩预告：1家业绩预盈；无分红派息事项。</w:t>
      </w:r>
    </w:p>
    <w:p>
      <w:pPr>
        <w:spacing w:before="156" w:beforeLines="50" w:after="156" w:afterLines="50"/>
        <w:jc w:val="center"/>
        <w:rPr>
          <w:rFonts w:ascii="仿宋" w:hAnsi="仿宋" w:eastAsia="仿宋"/>
          <w:b/>
          <w:color w:val="auto"/>
          <w:sz w:val="24"/>
        </w:rPr>
      </w:pPr>
      <w:r>
        <w:rPr>
          <w:rFonts w:ascii="仿宋" w:hAnsi="仿宋" w:eastAsia="仿宋"/>
          <w:b/>
          <w:color w:val="auto"/>
          <w:sz w:val="24"/>
        </w:rPr>
        <w:t>表7　业绩预告/快报事项</w:t>
      </w:r>
    </w:p>
    <w:tbl>
      <w:tblPr>
        <w:tblStyle w:val="10"/>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1134"/>
        <w:gridCol w:w="1276"/>
        <w:gridCol w:w="3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center"/>
              <w:rPr>
                <w:rFonts w:ascii="仿宋" w:hAnsi="仿宋" w:eastAsia="仿宋"/>
                <w:color w:val="auto"/>
                <w:kern w:val="0"/>
                <w:szCs w:val="21"/>
              </w:rPr>
            </w:pPr>
            <w:r>
              <w:rPr>
                <w:rFonts w:hint="eastAsia" w:ascii="仿宋" w:hAnsi="仿宋" w:eastAsia="仿宋" w:cs="宋体"/>
                <w:b/>
                <w:color w:val="auto"/>
                <w:kern w:val="0"/>
                <w:szCs w:val="21"/>
              </w:rPr>
              <w:t>序号</w:t>
            </w:r>
          </w:p>
        </w:tc>
        <w:tc>
          <w:tcPr>
            <w:tcW w:w="1276" w:type="dxa"/>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披露日期</w:t>
            </w:r>
          </w:p>
        </w:tc>
        <w:tc>
          <w:tcPr>
            <w:tcW w:w="1276" w:type="dxa"/>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证券代码</w:t>
            </w:r>
          </w:p>
        </w:tc>
        <w:tc>
          <w:tcPr>
            <w:tcW w:w="1134" w:type="dxa"/>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证券名称</w:t>
            </w:r>
          </w:p>
        </w:tc>
        <w:tc>
          <w:tcPr>
            <w:tcW w:w="1276" w:type="dxa"/>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事件类型</w:t>
            </w:r>
          </w:p>
        </w:tc>
        <w:tc>
          <w:tcPr>
            <w:tcW w:w="3997" w:type="dxa"/>
            <w:vAlign w:val="center"/>
          </w:tcPr>
          <w:p>
            <w:pPr>
              <w:widowControl/>
              <w:jc w:val="center"/>
              <w:rPr>
                <w:rFonts w:ascii="仿宋" w:hAnsi="仿宋" w:eastAsia="仿宋" w:cs="宋体"/>
                <w:b/>
                <w:color w:val="auto"/>
                <w:kern w:val="0"/>
                <w:szCs w:val="21"/>
              </w:rPr>
            </w:pPr>
            <w:r>
              <w:rPr>
                <w:rFonts w:hint="eastAsia" w:ascii="仿宋" w:hAnsi="仿宋" w:eastAsia="仿宋" w:cs="宋体"/>
                <w:b/>
                <w:color w:val="auto"/>
                <w:kern w:val="0"/>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auto"/>
                <w:kern w:val="0"/>
                <w:szCs w:val="21"/>
              </w:rPr>
            </w:pPr>
            <w:r>
              <w:rPr>
                <w:rFonts w:hint="eastAsia" w:ascii="仿宋" w:hAnsi="仿宋" w:eastAsia="仿宋"/>
                <w:color w:val="auto"/>
                <w:kern w:val="0"/>
                <w:szCs w:val="21"/>
              </w:rPr>
              <w:t>1</w:t>
            </w:r>
          </w:p>
        </w:tc>
        <w:tc>
          <w:tcPr>
            <w:tcW w:w="1276" w:type="dxa"/>
            <w:vAlign w:val="center"/>
          </w:tcPr>
          <w:p>
            <w:pPr>
              <w:jc w:val="center"/>
              <w:rPr>
                <w:rFonts w:ascii="仿宋" w:hAnsi="仿宋" w:eastAsia="仿宋"/>
                <w:color w:val="auto"/>
                <w:kern w:val="0"/>
                <w:szCs w:val="21"/>
              </w:rPr>
            </w:pPr>
            <w:r>
              <w:rPr>
                <w:rFonts w:hint="eastAsia" w:ascii="仿宋" w:hAnsi="仿宋" w:eastAsia="仿宋"/>
                <w:color w:val="auto"/>
                <w:kern w:val="0"/>
                <w:szCs w:val="21"/>
              </w:rPr>
              <w:t>2023-06-01</w:t>
            </w:r>
          </w:p>
        </w:tc>
        <w:tc>
          <w:tcPr>
            <w:tcW w:w="1276" w:type="dxa"/>
            <w:vAlign w:val="center"/>
          </w:tcPr>
          <w:p>
            <w:pPr>
              <w:jc w:val="center"/>
              <w:rPr>
                <w:rFonts w:ascii="仿宋" w:hAnsi="仿宋" w:eastAsia="仿宋"/>
                <w:color w:val="auto"/>
                <w:kern w:val="0"/>
                <w:szCs w:val="21"/>
              </w:rPr>
            </w:pPr>
            <w:r>
              <w:rPr>
                <w:rFonts w:hint="eastAsia" w:ascii="仿宋" w:hAnsi="仿宋" w:eastAsia="仿宋"/>
                <w:color w:val="auto"/>
                <w:kern w:val="0"/>
                <w:szCs w:val="21"/>
              </w:rPr>
              <w:t>301376.SZ</w:t>
            </w:r>
          </w:p>
        </w:tc>
        <w:tc>
          <w:tcPr>
            <w:tcW w:w="1134" w:type="dxa"/>
            <w:vAlign w:val="center"/>
          </w:tcPr>
          <w:p>
            <w:pPr>
              <w:jc w:val="center"/>
              <w:rPr>
                <w:rFonts w:ascii="仿宋" w:hAnsi="仿宋" w:eastAsia="仿宋"/>
                <w:color w:val="auto"/>
                <w:kern w:val="0"/>
                <w:szCs w:val="21"/>
              </w:rPr>
            </w:pPr>
            <w:r>
              <w:rPr>
                <w:rFonts w:hint="eastAsia" w:ascii="仿宋" w:hAnsi="仿宋" w:eastAsia="仿宋"/>
                <w:color w:val="auto"/>
                <w:kern w:val="0"/>
                <w:szCs w:val="21"/>
              </w:rPr>
              <w:t>致欧科技</w:t>
            </w:r>
          </w:p>
        </w:tc>
        <w:tc>
          <w:tcPr>
            <w:tcW w:w="1276" w:type="dxa"/>
            <w:vAlign w:val="center"/>
          </w:tcPr>
          <w:p>
            <w:pPr>
              <w:jc w:val="center"/>
              <w:rPr>
                <w:rFonts w:ascii="仿宋" w:hAnsi="仿宋" w:eastAsia="仿宋"/>
                <w:color w:val="auto"/>
                <w:kern w:val="0"/>
                <w:szCs w:val="21"/>
              </w:rPr>
            </w:pPr>
            <w:r>
              <w:rPr>
                <w:rFonts w:hint="eastAsia" w:ascii="仿宋" w:hAnsi="仿宋" w:eastAsia="仿宋"/>
                <w:color w:val="auto"/>
                <w:kern w:val="0"/>
                <w:szCs w:val="21"/>
              </w:rPr>
              <w:t>业绩预告</w:t>
            </w:r>
          </w:p>
        </w:tc>
        <w:tc>
          <w:tcPr>
            <w:tcW w:w="3997" w:type="dxa"/>
            <w:vAlign w:val="center"/>
          </w:tcPr>
          <w:p>
            <w:pPr>
              <w:rPr>
                <w:rFonts w:ascii="仿宋" w:hAnsi="仿宋" w:eastAsia="仿宋"/>
                <w:color w:val="auto"/>
                <w:kern w:val="0"/>
                <w:szCs w:val="21"/>
              </w:rPr>
            </w:pPr>
            <w:r>
              <w:rPr>
                <w:rFonts w:hint="eastAsia" w:ascii="仿宋" w:hAnsi="仿宋" w:eastAsia="仿宋"/>
                <w:color w:val="auto"/>
                <w:kern w:val="0"/>
                <w:szCs w:val="21"/>
              </w:rPr>
              <w:t>第1次2023年中报业绩预告，公司业绩：预增。 预测业绩：净利润约17,500.00万元~18,500.00万元。较去年同期净利润11,036.84万元，变化约为58.56%~67.62%。</w:t>
            </w:r>
          </w:p>
        </w:tc>
      </w:tr>
    </w:tbl>
    <w:p>
      <w:pPr>
        <w:spacing w:after="120"/>
        <w:ind w:firstLine="562" w:firstLineChars="200"/>
        <w:rPr>
          <w:rFonts w:ascii="仿宋" w:hAnsi="仿宋" w:eastAsia="仿宋"/>
          <w:b/>
          <w:color w:val="auto"/>
          <w:sz w:val="28"/>
          <w:szCs w:val="28"/>
        </w:rPr>
      </w:pPr>
      <w:r>
        <w:rPr>
          <w:rFonts w:ascii="仿宋" w:hAnsi="仿宋" w:eastAsia="仿宋"/>
          <w:b/>
          <w:color w:val="auto"/>
          <w:sz w:val="28"/>
          <w:szCs w:val="28"/>
        </w:rPr>
        <w:t>4.增持与减持</w:t>
      </w:r>
    </w:p>
    <w:p>
      <w:pPr>
        <w:spacing w:before="156" w:beforeLines="50" w:after="156" w:afterLines="50"/>
        <w:ind w:firstLine="482" w:firstLineChars="200"/>
        <w:jc w:val="center"/>
        <w:rPr>
          <w:rFonts w:ascii="仿宋" w:hAnsi="仿宋" w:eastAsia="仿宋"/>
          <w:b/>
          <w:color w:val="auto"/>
          <w:sz w:val="24"/>
          <w:szCs w:val="30"/>
        </w:rPr>
      </w:pPr>
      <w:r>
        <w:rPr>
          <w:rFonts w:ascii="仿宋" w:hAnsi="仿宋" w:eastAsia="仿宋"/>
          <w:b/>
          <w:color w:val="auto"/>
          <w:sz w:val="24"/>
          <w:szCs w:val="30"/>
        </w:rPr>
        <w:t>表8　股东增/减持公司股票事项</w:t>
      </w:r>
    </w:p>
    <w:tbl>
      <w:tblPr>
        <w:tblStyle w:val="9"/>
        <w:tblW w:w="10720" w:type="dxa"/>
        <w:jc w:val="center"/>
        <w:tblLayout w:type="fixed"/>
        <w:tblCellMar>
          <w:top w:w="0" w:type="dxa"/>
          <w:left w:w="108" w:type="dxa"/>
          <w:bottom w:w="0" w:type="dxa"/>
          <w:right w:w="108" w:type="dxa"/>
        </w:tblCellMar>
      </w:tblPr>
      <w:tblGrid>
        <w:gridCol w:w="796"/>
        <w:gridCol w:w="1266"/>
        <w:gridCol w:w="1281"/>
        <w:gridCol w:w="1134"/>
        <w:gridCol w:w="1559"/>
        <w:gridCol w:w="4684"/>
      </w:tblGrid>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color w:val="auto"/>
                <w:szCs w:val="21"/>
              </w:rPr>
            </w:pPr>
            <w:r>
              <w:rPr>
                <w:rFonts w:hint="eastAsia" w:ascii="仿宋" w:hAnsi="仿宋" w:eastAsia="仿宋"/>
                <w:b/>
                <w:color w:val="auto"/>
                <w:szCs w:val="21"/>
              </w:rPr>
              <w:t>序号</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发生日期</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事件类型</w:t>
            </w:r>
          </w:p>
        </w:tc>
        <w:tc>
          <w:tcPr>
            <w:tcW w:w="468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事件摘要</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2023-06-19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林州重机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林州重机集团股份有限公司董事吕占国先生（2023年5月26日当选为公司董事）的父亲吕明田先生通过集中竞价方式分别于2023年6月1日、2023年6月16日买卖公司股票。</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2023-06-02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600020.SH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中原高速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2023-06-02，长城人寿保险股份有限公司增持802.93万股公司股份，平均增持价格为3.63CNY。截止2023-06-03，持有股份数量为1.12亿股流通股份，占流通股份总数比例为5%。</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2023-06-01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林州重机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2023-06-01，吕明田增持1万股公司股份，平均增持价格为3CNY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2023-04-28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600020.SH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中原高速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2023-04-03至2023-04-28，长城人寿保险股份有限公司增持1504.99万股公司股份，平均增持价格为3.32CNY。截止2023-06-03，持有股份数量为1.04亿股流通股份，占流通股份总数比例为3.01%。</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5</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2023-04-20</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林州重机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2023-04-20，吕明田增持0.5万股公司股份，平均增持价格为3.39CNY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6</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2023-04-19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林州重机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2023-04-19，吕明田增持2万股公司股份，平均增持价格为3.345CNY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7</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2023-03-31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600020.SH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中原高速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2023-03-01至2023-03-31，长城人寿保险股份有限公司增持1639.67万股公司股份，平均增持价格为3.26CNY。截止2023-06-03，持有股份数量为8928.96万股，占流通股份总数比例为3.74%。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8</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2023-02-28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600020.SH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中原高速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2023-02-01至2023-02-28，长城人寿保险股份有限公司增持2039.77万股公司股份，平均增持价格为3.11CNY。截止2023-06-03，持有股份数量为7289.29万股，占流通股份总数比例为4.64%。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9</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2023-01-31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600020.SH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中原高速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股东增持股票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2023-01-03至2023-01-31，长城人寿保险股份有限公司增持965.85万股公司股份，平均增持价格为2.95CNY。截止2023-06-03，持有股份数量为5249.52万股，占流通股份总数比例为2.34%。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10</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2023-06-29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金冠电气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2022-12-30至2023-06-29，南通光冠智合企业管理合伙企业(有限合伙)减持0.6万股公司股份，平均减持价格为26.4997CNY。截止2023-06-30，持有股份数量为13.28万股，占流通股份总数比例为0.16%。 2022-12-30至2023-06-29，南通光控智造股权投资基金合伙企业(有限合伙)减持3.5万股公司股份，平均减持价格为26.5381CNY。截止2023-06-30，持有股份数量为679.28万股，占流通股份总数比例为7.99%。 2022-12-30至2023-06-29，精技电子(南通)有限公司减持41.39万股公司股份，平均减持价格为25.3244CNY。截止2023-06-30，持有股份数量为83.52万股，占流通股份总数比例为0.98%。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2023-06-27</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301089.SZ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拓新药业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2023-06-19至2023-06-27，北京新华联产业投资有限公司减持126万股公司股份，平均减持价格为63.54CNY。截止2023-06-28，持有股份数量为146.77万股，占流通股份总数比例为1.9%。</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2023-06-19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林州重机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2023-06-19，吕明田减持5.5万股公司股份，平均减持价格为3.279CNY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2023-06-16</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林州重机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2023-06-16，吕明田减持2万股公司股份，平均减持价格为3.605CNY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2023-06-08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002560.SZ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通达股份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2023-06-08，河南通达电缆股份有限公司-第一期员工持股计划减持120.09万股公司股份。截止2023-06-10，持有股份数量为0.0万股。</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15</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2023-06-02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002560.SZ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通达股份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2023-05-31至2023-06-02，史万福减持528.61万股公司股份，平均减持价格为7.97CNY。截止2023-06-05，持有股份数量为4357.11万股，占流通股份总数比例为9.62%。</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16</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2023-06-01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600222.SH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太龙药业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2023-05-23至2023-06-01，吴澜减持10.34万股公司股份。截止2023-06-03，持有股份数量为2869.43万股，占流通股份总数比例为5%。</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17</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2023-05-31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301089.SZ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拓新药业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2023-05-04至2023-05-31，路可可作企业有限公司减持1.77万股公司股份，平均减持价格为84.28CNY。截止2023-06-21，持有股份数量为586.78万股，占流通股份总数比例为7.61%。</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18</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2023-05-31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600285.SH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羚锐制药</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2023-05-05至2023-05-31，新县鑫源贸易有限公司减持387.01万股公司股份，平均减持价格为16.95CNY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19</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2023-04-28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301089.SZ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拓新药业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2023-04-03至2023-04-28，SHENGLIN HOLDING CO.LTD.减持26.26万股公司股份，平均减持价格为76.84CNY。截止2023-06-21，持有股份数量为1816.47万股，占流通股份总数比例为23.57%。 2023-04-03至2023-04-28，路可可作企业有限公司减持20.79万股公司股份，平均减持价格为76.2CNY。截止2023-06-21，持有股份数量为588.55万股，占流通股份总数比例为7.64%。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20</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2023-04-18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002535.SZ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林州重机</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2023-04-18，吕明田减持2.8万股公司股份，平均减持价格为3.19CNY</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21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auto"/>
                <w:szCs w:val="21"/>
              </w:rPr>
            </w:pPr>
            <w:r>
              <w:rPr>
                <w:rFonts w:hint="eastAsia" w:ascii="仿宋" w:hAnsi="仿宋" w:eastAsia="仿宋"/>
                <w:color w:val="auto"/>
                <w:szCs w:val="21"/>
              </w:rPr>
              <w:t>2023-03-31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301089.SZ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拓新药业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股东减持股票</w:t>
            </w:r>
          </w:p>
        </w:tc>
        <w:tc>
          <w:tcPr>
            <w:tcW w:w="468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2023-03-29至2023-03-31，SHENGLIN HOLDING CO.LTD.减持20.27万股公司股份。截止2023-06-21，持有股份数量为1842.73万股，占流通股份总数比例为23.91%。 2023-03-29至2023-03-31，路可可作企业有限公司减持20.65万股公司股份。截止2023-06-21，持有股份数量为609.34万股，占流通股份总数比例为7.91%。</w:t>
            </w:r>
          </w:p>
        </w:tc>
      </w:tr>
    </w:tbl>
    <w:p>
      <w:pPr>
        <w:spacing w:after="156" w:afterLines="50"/>
        <w:ind w:firstLine="562" w:firstLineChars="200"/>
        <w:rPr>
          <w:rFonts w:ascii="仿宋" w:hAnsi="仿宋" w:eastAsia="仿宋"/>
          <w:b/>
          <w:color w:val="auto"/>
          <w:sz w:val="28"/>
          <w:szCs w:val="28"/>
        </w:rPr>
      </w:pPr>
      <w:r>
        <w:rPr>
          <w:rFonts w:ascii="仿宋" w:hAnsi="仿宋" w:eastAsia="仿宋"/>
          <w:b/>
          <w:color w:val="auto"/>
          <w:sz w:val="28"/>
          <w:szCs w:val="28"/>
        </w:rPr>
        <w:t>5.其他重大事项</w:t>
      </w:r>
    </w:p>
    <w:p>
      <w:pPr>
        <w:spacing w:before="156" w:beforeLines="50" w:after="156" w:afterLines="50"/>
        <w:jc w:val="center"/>
        <w:rPr>
          <w:rFonts w:ascii="仿宋" w:hAnsi="仿宋" w:eastAsia="仿宋"/>
          <w:b/>
          <w:color w:val="auto"/>
          <w:sz w:val="24"/>
          <w:szCs w:val="30"/>
        </w:rPr>
      </w:pPr>
      <w:r>
        <w:rPr>
          <w:rFonts w:ascii="仿宋" w:hAnsi="仿宋" w:eastAsia="仿宋"/>
          <w:b/>
          <w:color w:val="auto"/>
          <w:sz w:val="24"/>
          <w:szCs w:val="30"/>
        </w:rPr>
        <w:t>表9　6月董事长、董秘变动情况</w:t>
      </w:r>
    </w:p>
    <w:tbl>
      <w:tblPr>
        <w:tblStyle w:val="10"/>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276"/>
        <w:gridCol w:w="1134"/>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color w:val="auto"/>
                <w:szCs w:val="21"/>
              </w:rPr>
            </w:pPr>
            <w:r>
              <w:rPr>
                <w:rFonts w:hint="eastAsia" w:ascii="仿宋" w:hAnsi="仿宋" w:eastAsia="仿宋"/>
                <w:b/>
                <w:color w:val="auto"/>
                <w:szCs w:val="21"/>
              </w:rPr>
              <w:t>序号</w:t>
            </w:r>
          </w:p>
        </w:tc>
        <w:tc>
          <w:tcPr>
            <w:tcW w:w="1701" w:type="dxa"/>
          </w:tcPr>
          <w:p>
            <w:pPr>
              <w:jc w:val="center"/>
              <w:rPr>
                <w:rFonts w:ascii="仿宋" w:hAnsi="仿宋" w:eastAsia="仿宋"/>
                <w:b/>
                <w:color w:val="auto"/>
                <w:szCs w:val="21"/>
              </w:rPr>
            </w:pPr>
            <w:r>
              <w:rPr>
                <w:rFonts w:hint="eastAsia" w:ascii="仿宋" w:hAnsi="仿宋" w:eastAsia="仿宋"/>
                <w:b/>
                <w:color w:val="auto"/>
                <w:szCs w:val="21"/>
              </w:rPr>
              <w:t>披露日期</w:t>
            </w:r>
          </w:p>
        </w:tc>
        <w:tc>
          <w:tcPr>
            <w:tcW w:w="1276" w:type="dxa"/>
          </w:tcPr>
          <w:p>
            <w:pPr>
              <w:jc w:val="center"/>
              <w:rPr>
                <w:rFonts w:ascii="仿宋" w:hAnsi="仿宋" w:eastAsia="仿宋"/>
                <w:b/>
                <w:color w:val="auto"/>
                <w:szCs w:val="21"/>
              </w:rPr>
            </w:pPr>
            <w:r>
              <w:rPr>
                <w:rFonts w:hint="eastAsia" w:ascii="仿宋" w:hAnsi="仿宋" w:eastAsia="仿宋"/>
                <w:b/>
                <w:color w:val="auto"/>
                <w:szCs w:val="21"/>
              </w:rPr>
              <w:t>证券代码</w:t>
            </w:r>
          </w:p>
        </w:tc>
        <w:tc>
          <w:tcPr>
            <w:tcW w:w="1134" w:type="dxa"/>
          </w:tcPr>
          <w:p>
            <w:pPr>
              <w:jc w:val="center"/>
              <w:rPr>
                <w:rFonts w:ascii="仿宋" w:hAnsi="仿宋" w:eastAsia="仿宋"/>
                <w:b/>
                <w:color w:val="auto"/>
                <w:szCs w:val="21"/>
              </w:rPr>
            </w:pPr>
            <w:r>
              <w:rPr>
                <w:rFonts w:hint="eastAsia" w:ascii="仿宋" w:hAnsi="仿宋" w:eastAsia="仿宋"/>
                <w:b/>
                <w:color w:val="auto"/>
                <w:szCs w:val="21"/>
              </w:rPr>
              <w:t>证券名称</w:t>
            </w:r>
          </w:p>
        </w:tc>
        <w:tc>
          <w:tcPr>
            <w:tcW w:w="3723" w:type="dxa"/>
          </w:tcPr>
          <w:p>
            <w:pPr>
              <w:jc w:val="center"/>
              <w:rPr>
                <w:rFonts w:ascii="仿宋" w:hAnsi="仿宋" w:eastAsia="仿宋"/>
                <w:b/>
                <w:color w:val="auto"/>
                <w:szCs w:val="21"/>
              </w:rPr>
            </w:pPr>
            <w:r>
              <w:rPr>
                <w:rFonts w:hint="eastAsia" w:ascii="仿宋" w:hAnsi="仿宋" w:eastAsia="仿宋"/>
                <w:b/>
                <w:color w:val="auto"/>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color w:val="auto"/>
                <w:szCs w:val="21"/>
              </w:rPr>
            </w:pPr>
            <w:r>
              <w:rPr>
                <w:rFonts w:ascii="仿宋" w:hAnsi="仿宋" w:eastAsia="仿宋"/>
                <w:color w:val="auto"/>
                <w:szCs w:val="21"/>
              </w:rPr>
              <w:t>1</w:t>
            </w:r>
          </w:p>
        </w:tc>
        <w:tc>
          <w:tcPr>
            <w:tcW w:w="1701" w:type="dxa"/>
            <w:vAlign w:val="center"/>
          </w:tcPr>
          <w:p>
            <w:pPr>
              <w:jc w:val="center"/>
              <w:rPr>
                <w:rFonts w:ascii="仿宋" w:hAnsi="仿宋" w:eastAsia="仿宋"/>
                <w:color w:val="auto"/>
                <w:szCs w:val="21"/>
              </w:rPr>
            </w:pPr>
            <w:r>
              <w:rPr>
                <w:rFonts w:hint="eastAsia" w:ascii="仿宋" w:hAnsi="仿宋" w:eastAsia="仿宋"/>
                <w:color w:val="auto"/>
                <w:szCs w:val="21"/>
              </w:rPr>
              <w:t>2023-06-09</w:t>
            </w:r>
          </w:p>
        </w:tc>
        <w:tc>
          <w:tcPr>
            <w:tcW w:w="1276" w:type="dxa"/>
            <w:vAlign w:val="center"/>
          </w:tcPr>
          <w:p>
            <w:pPr>
              <w:jc w:val="center"/>
              <w:rPr>
                <w:rFonts w:ascii="仿宋" w:hAnsi="仿宋" w:eastAsia="仿宋"/>
                <w:color w:val="auto"/>
                <w:szCs w:val="21"/>
              </w:rPr>
            </w:pPr>
            <w:r>
              <w:rPr>
                <w:rFonts w:hint="eastAsia" w:ascii="仿宋" w:hAnsi="仿宋" w:eastAsia="仿宋"/>
                <w:color w:val="auto"/>
                <w:szCs w:val="21"/>
              </w:rPr>
              <w:t>002536.SZ</w:t>
            </w:r>
          </w:p>
        </w:tc>
        <w:tc>
          <w:tcPr>
            <w:tcW w:w="1134" w:type="dxa"/>
            <w:vAlign w:val="center"/>
          </w:tcPr>
          <w:p>
            <w:pPr>
              <w:jc w:val="center"/>
              <w:rPr>
                <w:rFonts w:ascii="仿宋" w:hAnsi="仿宋" w:eastAsia="仿宋"/>
                <w:color w:val="auto"/>
                <w:szCs w:val="21"/>
              </w:rPr>
            </w:pPr>
            <w:r>
              <w:rPr>
                <w:rFonts w:hint="eastAsia" w:ascii="仿宋" w:hAnsi="仿宋" w:eastAsia="仿宋"/>
                <w:color w:val="auto"/>
                <w:szCs w:val="21"/>
              </w:rPr>
              <w:t>飞龙股份</w:t>
            </w:r>
          </w:p>
        </w:tc>
        <w:tc>
          <w:tcPr>
            <w:tcW w:w="3723" w:type="dxa"/>
            <w:vAlign w:val="center"/>
          </w:tcPr>
          <w:p>
            <w:pPr>
              <w:jc w:val="center"/>
              <w:rPr>
                <w:rFonts w:ascii="仿宋" w:hAnsi="仿宋" w:eastAsia="仿宋"/>
                <w:color w:val="auto"/>
                <w:szCs w:val="21"/>
              </w:rPr>
            </w:pPr>
            <w:r>
              <w:rPr>
                <w:rFonts w:hint="eastAsia" w:ascii="仿宋" w:hAnsi="仿宋" w:eastAsia="仿宋"/>
                <w:color w:val="auto"/>
                <w:szCs w:val="21"/>
              </w:rPr>
              <w:t>董事长孙耀志离任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color w:val="auto"/>
                <w:szCs w:val="21"/>
              </w:rPr>
            </w:pPr>
          </w:p>
        </w:tc>
        <w:tc>
          <w:tcPr>
            <w:tcW w:w="1701" w:type="dxa"/>
            <w:vAlign w:val="center"/>
          </w:tcPr>
          <w:p>
            <w:pPr>
              <w:jc w:val="center"/>
              <w:rPr>
                <w:rFonts w:ascii="仿宋" w:hAnsi="仿宋" w:eastAsia="仿宋"/>
                <w:color w:val="auto"/>
                <w:szCs w:val="21"/>
              </w:rPr>
            </w:pPr>
            <w:r>
              <w:rPr>
                <w:rFonts w:hint="eastAsia" w:ascii="仿宋" w:hAnsi="仿宋" w:eastAsia="仿宋"/>
                <w:color w:val="auto"/>
                <w:szCs w:val="21"/>
              </w:rPr>
              <w:t>2023-06-09</w:t>
            </w:r>
          </w:p>
        </w:tc>
        <w:tc>
          <w:tcPr>
            <w:tcW w:w="1276" w:type="dxa"/>
            <w:vAlign w:val="center"/>
          </w:tcPr>
          <w:p>
            <w:pPr>
              <w:jc w:val="center"/>
              <w:rPr>
                <w:rFonts w:ascii="仿宋" w:hAnsi="仿宋" w:eastAsia="仿宋"/>
                <w:color w:val="auto"/>
                <w:szCs w:val="21"/>
              </w:rPr>
            </w:pPr>
            <w:r>
              <w:rPr>
                <w:rFonts w:hint="eastAsia" w:ascii="仿宋" w:hAnsi="仿宋" w:eastAsia="仿宋"/>
                <w:color w:val="auto"/>
                <w:szCs w:val="21"/>
              </w:rPr>
              <w:t>002536.SZ</w:t>
            </w:r>
          </w:p>
        </w:tc>
        <w:tc>
          <w:tcPr>
            <w:tcW w:w="1134" w:type="dxa"/>
            <w:vAlign w:val="center"/>
          </w:tcPr>
          <w:p>
            <w:pPr>
              <w:jc w:val="center"/>
              <w:rPr>
                <w:rFonts w:ascii="仿宋" w:hAnsi="仿宋" w:eastAsia="仿宋"/>
                <w:color w:val="auto"/>
                <w:szCs w:val="21"/>
              </w:rPr>
            </w:pPr>
            <w:r>
              <w:rPr>
                <w:rFonts w:hint="eastAsia" w:ascii="仿宋" w:hAnsi="仿宋" w:eastAsia="仿宋"/>
                <w:color w:val="auto"/>
                <w:szCs w:val="21"/>
              </w:rPr>
              <w:t>飞龙股份</w:t>
            </w:r>
          </w:p>
        </w:tc>
        <w:tc>
          <w:tcPr>
            <w:tcW w:w="3723" w:type="dxa"/>
            <w:vAlign w:val="center"/>
          </w:tcPr>
          <w:p>
            <w:pPr>
              <w:jc w:val="center"/>
              <w:rPr>
                <w:rFonts w:ascii="仿宋" w:hAnsi="仿宋" w:eastAsia="仿宋"/>
                <w:color w:val="auto"/>
                <w:szCs w:val="21"/>
              </w:rPr>
            </w:pPr>
            <w:r>
              <w:rPr>
                <w:rFonts w:hint="eastAsia" w:ascii="仿宋" w:hAnsi="仿宋" w:eastAsia="仿宋"/>
                <w:color w:val="auto"/>
                <w:szCs w:val="21"/>
              </w:rPr>
              <w:t>新聘董事长孙锋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color w:val="auto"/>
                <w:szCs w:val="21"/>
              </w:rPr>
            </w:pPr>
            <w:r>
              <w:rPr>
                <w:rFonts w:ascii="仿宋" w:hAnsi="仿宋" w:eastAsia="仿宋"/>
                <w:color w:val="auto"/>
                <w:szCs w:val="21"/>
              </w:rPr>
              <w:t>2</w:t>
            </w:r>
          </w:p>
        </w:tc>
        <w:tc>
          <w:tcPr>
            <w:tcW w:w="1701" w:type="dxa"/>
            <w:vAlign w:val="center"/>
          </w:tcPr>
          <w:p>
            <w:pPr>
              <w:jc w:val="center"/>
              <w:rPr>
                <w:rFonts w:ascii="仿宋" w:hAnsi="仿宋" w:eastAsia="仿宋"/>
                <w:color w:val="auto"/>
                <w:szCs w:val="21"/>
              </w:rPr>
            </w:pPr>
            <w:r>
              <w:rPr>
                <w:rFonts w:hint="eastAsia" w:ascii="仿宋" w:hAnsi="仿宋" w:eastAsia="仿宋"/>
                <w:color w:val="auto"/>
                <w:szCs w:val="21"/>
              </w:rPr>
              <w:t>2023-06-01</w:t>
            </w:r>
          </w:p>
        </w:tc>
        <w:tc>
          <w:tcPr>
            <w:tcW w:w="1276" w:type="dxa"/>
            <w:vAlign w:val="center"/>
          </w:tcPr>
          <w:p>
            <w:pPr>
              <w:jc w:val="center"/>
              <w:rPr>
                <w:rFonts w:ascii="仿宋" w:hAnsi="仿宋" w:eastAsia="仿宋"/>
                <w:color w:val="auto"/>
                <w:szCs w:val="21"/>
              </w:rPr>
            </w:pPr>
            <w:r>
              <w:rPr>
                <w:rFonts w:hint="eastAsia" w:ascii="仿宋" w:hAnsi="仿宋" w:eastAsia="仿宋"/>
                <w:color w:val="auto"/>
                <w:szCs w:val="21"/>
              </w:rPr>
              <w:t>300908.SZ</w:t>
            </w:r>
          </w:p>
        </w:tc>
        <w:tc>
          <w:tcPr>
            <w:tcW w:w="1134" w:type="dxa"/>
            <w:vAlign w:val="center"/>
          </w:tcPr>
          <w:p>
            <w:pPr>
              <w:jc w:val="center"/>
              <w:rPr>
                <w:rFonts w:ascii="仿宋" w:hAnsi="仿宋" w:eastAsia="仿宋"/>
                <w:color w:val="auto"/>
                <w:szCs w:val="21"/>
              </w:rPr>
            </w:pPr>
            <w:r>
              <w:rPr>
                <w:rFonts w:hint="eastAsia" w:ascii="仿宋" w:hAnsi="仿宋" w:eastAsia="仿宋"/>
                <w:color w:val="auto"/>
                <w:szCs w:val="21"/>
              </w:rPr>
              <w:t>仲景食品</w:t>
            </w:r>
          </w:p>
        </w:tc>
        <w:tc>
          <w:tcPr>
            <w:tcW w:w="3723" w:type="dxa"/>
            <w:vAlign w:val="center"/>
          </w:tcPr>
          <w:p>
            <w:pPr>
              <w:jc w:val="center"/>
              <w:rPr>
                <w:rFonts w:ascii="仿宋" w:hAnsi="仿宋" w:eastAsia="仿宋"/>
                <w:color w:val="auto"/>
                <w:szCs w:val="21"/>
              </w:rPr>
            </w:pPr>
            <w:r>
              <w:rPr>
                <w:rFonts w:hint="eastAsia" w:ascii="仿宋" w:hAnsi="仿宋" w:eastAsia="仿宋"/>
                <w:color w:val="auto"/>
                <w:szCs w:val="21"/>
              </w:rPr>
              <w:t>新聘董事长孙锋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color w:val="auto"/>
                <w:szCs w:val="21"/>
              </w:rPr>
            </w:pPr>
          </w:p>
        </w:tc>
        <w:tc>
          <w:tcPr>
            <w:tcW w:w="1701" w:type="dxa"/>
            <w:vAlign w:val="center"/>
          </w:tcPr>
          <w:p>
            <w:pPr>
              <w:jc w:val="center"/>
              <w:rPr>
                <w:rFonts w:ascii="仿宋" w:hAnsi="仿宋" w:eastAsia="仿宋"/>
                <w:color w:val="auto"/>
                <w:szCs w:val="21"/>
              </w:rPr>
            </w:pPr>
            <w:r>
              <w:rPr>
                <w:rFonts w:hint="eastAsia" w:ascii="仿宋" w:hAnsi="仿宋" w:eastAsia="仿宋"/>
                <w:color w:val="auto"/>
                <w:szCs w:val="21"/>
              </w:rPr>
              <w:t>2023-06-01</w:t>
            </w:r>
          </w:p>
        </w:tc>
        <w:tc>
          <w:tcPr>
            <w:tcW w:w="1276" w:type="dxa"/>
            <w:vAlign w:val="center"/>
          </w:tcPr>
          <w:p>
            <w:pPr>
              <w:jc w:val="center"/>
              <w:rPr>
                <w:rFonts w:ascii="仿宋" w:hAnsi="仿宋" w:eastAsia="仿宋"/>
                <w:color w:val="auto"/>
                <w:szCs w:val="21"/>
              </w:rPr>
            </w:pPr>
            <w:r>
              <w:rPr>
                <w:rFonts w:hint="eastAsia" w:ascii="仿宋" w:hAnsi="仿宋" w:eastAsia="仿宋"/>
                <w:color w:val="auto"/>
                <w:szCs w:val="21"/>
              </w:rPr>
              <w:t>300908.SZ</w:t>
            </w:r>
          </w:p>
        </w:tc>
        <w:tc>
          <w:tcPr>
            <w:tcW w:w="1134" w:type="dxa"/>
            <w:vAlign w:val="center"/>
          </w:tcPr>
          <w:p>
            <w:pPr>
              <w:jc w:val="center"/>
              <w:rPr>
                <w:rFonts w:ascii="仿宋" w:hAnsi="仿宋" w:eastAsia="仿宋"/>
                <w:color w:val="auto"/>
                <w:szCs w:val="21"/>
              </w:rPr>
            </w:pPr>
            <w:r>
              <w:rPr>
                <w:rFonts w:hint="eastAsia" w:ascii="仿宋" w:hAnsi="仿宋" w:eastAsia="仿宋"/>
                <w:color w:val="auto"/>
                <w:szCs w:val="21"/>
              </w:rPr>
              <w:t>仲景食品</w:t>
            </w:r>
          </w:p>
        </w:tc>
        <w:tc>
          <w:tcPr>
            <w:tcW w:w="3723" w:type="dxa"/>
            <w:vAlign w:val="center"/>
          </w:tcPr>
          <w:p>
            <w:pPr>
              <w:jc w:val="center"/>
              <w:rPr>
                <w:rFonts w:ascii="仿宋" w:hAnsi="仿宋" w:eastAsia="仿宋"/>
                <w:color w:val="auto"/>
                <w:szCs w:val="21"/>
              </w:rPr>
            </w:pPr>
            <w:r>
              <w:rPr>
                <w:rFonts w:hint="eastAsia" w:ascii="仿宋" w:hAnsi="仿宋" w:eastAsia="仿宋"/>
                <w:color w:val="auto"/>
                <w:szCs w:val="21"/>
              </w:rPr>
              <w:t>董事长孙耀志离任</w:t>
            </w:r>
          </w:p>
        </w:tc>
      </w:tr>
    </w:tbl>
    <w:p>
      <w:pPr>
        <w:spacing w:before="156" w:beforeLines="50" w:after="156" w:afterLines="50"/>
        <w:jc w:val="center"/>
        <w:rPr>
          <w:rFonts w:ascii="仿宋" w:hAnsi="仿宋" w:eastAsia="仿宋"/>
          <w:b/>
          <w:color w:val="auto"/>
          <w:sz w:val="24"/>
          <w:szCs w:val="30"/>
        </w:rPr>
      </w:pPr>
      <w:r>
        <w:rPr>
          <w:rFonts w:hint="eastAsia" w:ascii="仿宋" w:hAnsi="仿宋" w:eastAsia="仿宋"/>
          <w:b/>
          <w:color w:val="auto"/>
          <w:sz w:val="24"/>
          <w:szCs w:val="30"/>
        </w:rPr>
        <w:t>表10　重大项目情况表</w:t>
      </w:r>
    </w:p>
    <w:tbl>
      <w:tblPr>
        <w:tblStyle w:val="9"/>
        <w:tblW w:w="11004" w:type="dxa"/>
        <w:jc w:val="center"/>
        <w:tblLayout w:type="fixed"/>
        <w:tblCellMar>
          <w:top w:w="0" w:type="dxa"/>
          <w:left w:w="108" w:type="dxa"/>
          <w:bottom w:w="0" w:type="dxa"/>
          <w:right w:w="108" w:type="dxa"/>
        </w:tblCellMar>
      </w:tblPr>
      <w:tblGrid>
        <w:gridCol w:w="709"/>
        <w:gridCol w:w="1163"/>
        <w:gridCol w:w="1134"/>
        <w:gridCol w:w="1842"/>
        <w:gridCol w:w="1418"/>
        <w:gridCol w:w="4738"/>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color w:val="auto"/>
                <w:szCs w:val="21"/>
              </w:rPr>
            </w:pPr>
            <w:r>
              <w:rPr>
                <w:rFonts w:hint="eastAsia" w:ascii="仿宋" w:hAnsi="仿宋" w:eastAsia="仿宋"/>
                <w:b/>
                <w:color w:val="auto"/>
                <w:szCs w:val="21"/>
              </w:rPr>
              <w:t>序号</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证券名称</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事件类型</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披露日期</w:t>
            </w:r>
          </w:p>
        </w:tc>
        <w:tc>
          <w:tcPr>
            <w:tcW w:w="473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color w:val="auto"/>
                <w:szCs w:val="21"/>
              </w:rPr>
            </w:pPr>
            <w:r>
              <w:rPr>
                <w:rFonts w:hint="eastAsia" w:ascii="仿宋" w:hAnsi="仿宋" w:eastAsia="仿宋"/>
                <w:b/>
                <w:color w:val="auto"/>
                <w:szCs w:val="21"/>
              </w:rPr>
              <w:t>事件摘要</w:t>
            </w:r>
          </w:p>
        </w:tc>
      </w:tr>
      <w:tr>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1</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300614.SZ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百川畅银</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2023-06-27</w:t>
            </w:r>
          </w:p>
        </w:tc>
        <w:tc>
          <w:tcPr>
            <w:tcW w:w="473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河南百川畅银环保能源股份有限公司（以下简称“公司”）与中信证券股份有限公司（以下简称“中信证券”）签署了《合作框架协议》（以下简称“本协议”）。为响应习近平总书记提出的国家“2030碳达峰、2060碳中和”减排目标，贯彻落实二十大提出的“积极参与应对气候变化全球治理”，推动建立高质量、高效率和高稳定性的低碳乃至零碳供给体系，促进生态文明建设全面协调和可持续发展，助力中国经济社会全面绿色转型和碳中和愿景的实现，双方充分发挥各自优势，促进共同发展，本着平等互利、资源共享、优势互补的原则，经友好协商，就建立合作关系相关事宜达成本协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2</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002857.SZ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三晖电气</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2023-06-20</w:t>
            </w:r>
          </w:p>
        </w:tc>
        <w:tc>
          <w:tcPr>
            <w:tcW w:w="473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近日，公司收到控股子公司深圳三晖能源科技有限公司与许昌许继电科储能技术有限公司签订的采购合同，项目名称：深能若羌风电项目配套10MW/20MWh储能系统项目。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3</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000885.SZ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城发环境</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2023-06-14</w:t>
            </w:r>
          </w:p>
        </w:tc>
        <w:tc>
          <w:tcPr>
            <w:tcW w:w="473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本次交易为公司的全资子公司河南沃克曼建设工程有限公司与焦作市绿鑫城发有限公司经公开招标，签订《焦作市静脉产业园东部园区项目PC总承包合同》《焦作市静脉产业园东部园区垃圾焚烧发电项目主厂房室内精装修施工合同》《焦作市静脉产业园东部园区垃圾焚烧发电项目厂区形象提升工程施工承包合同》。</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4</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300614.SZ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百川畅银</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2023-06-14</w:t>
            </w:r>
          </w:p>
        </w:tc>
        <w:tc>
          <w:tcPr>
            <w:tcW w:w="473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近日，河南百川畅银环保能源股份有限公司与安徽省金鼎安全科技股份有限公司签署了《战略合作协议》。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5</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金冠电气</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2023-06-13</w:t>
            </w:r>
          </w:p>
        </w:tc>
        <w:tc>
          <w:tcPr>
            <w:tcW w:w="473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国家电网有限公司电子商务平台发布国网安徽省电力有限公司2023年第一次配网物资协议库存公开招标采购中标候选人公示,金冠电气股份有限公司及全资子公司南阳金冠智能开关有限公司(以下简称“金冠智能”)中标一二次融合成套柱上断路器、环网柜-环保气体(标准化)、低压综合配电箱等5类产品5个标包,合计中标5,728.99万元。本公司所披露的中标项目仅为中标金额2,000万元(含)以上项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6</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002857.SZ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三晖电气</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2023-06-06</w:t>
            </w:r>
          </w:p>
        </w:tc>
        <w:tc>
          <w:tcPr>
            <w:tcW w:w="473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郑州三晖电气股份有限公司与中国电建集团华东勘测设计研究院有限公司于2023年6月2日签署了《战略合作框架协议》，协议旨在加强双方在新能源、储能等领域的合作，推动双方的各项业务发展，实现平等互利、资源共享、优势互补、共赢发展。</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auto"/>
                <w:szCs w:val="21"/>
              </w:rPr>
            </w:pPr>
            <w:r>
              <w:rPr>
                <w:rFonts w:hint="eastAsia" w:ascii="仿宋" w:hAnsi="仿宋" w:eastAsia="仿宋"/>
                <w:color w:val="auto"/>
                <w:szCs w:val="21"/>
              </w:rPr>
              <w:t>7</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金冠电气</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auto"/>
                <w:szCs w:val="21"/>
              </w:rPr>
            </w:pPr>
            <w:r>
              <w:rPr>
                <w:rFonts w:hint="eastAsia" w:ascii="仿宋" w:hAnsi="仿宋" w:eastAsia="仿宋"/>
                <w:color w:val="auto"/>
                <w:szCs w:val="21"/>
              </w:rPr>
              <w:t>2023-06-06</w:t>
            </w:r>
          </w:p>
        </w:tc>
        <w:tc>
          <w:tcPr>
            <w:tcW w:w="473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olor w:val="auto"/>
                <w:szCs w:val="21"/>
              </w:rPr>
            </w:pPr>
            <w:r>
              <w:rPr>
                <w:rFonts w:hint="eastAsia" w:ascii="仿宋" w:hAnsi="仿宋" w:eastAsia="仿宋"/>
                <w:color w:val="auto"/>
                <w:szCs w:val="21"/>
              </w:rPr>
              <w:t>近日,国家电网有限公司电子商务平台发布国网浙江省电力有限公司2023年第一次物资协议库存招标采购中标候选人结果公示,金冠电气股份有限公司(以下简称“公司”)中标避雷器产品共2个标包,预计中标金额合计2,102.55万元,本公司所披露的中标项目仅为中标金额2,000万元(含)以上项目。</w:t>
            </w:r>
          </w:p>
        </w:tc>
      </w:tr>
    </w:tbl>
    <w:p>
      <w:pPr>
        <w:spacing w:before="156" w:beforeLines="50" w:after="156" w:afterLines="50"/>
        <w:rPr>
          <w:rFonts w:ascii="楷体" w:hAnsi="楷体" w:eastAsia="楷体" w:cs="Calibri"/>
          <w:b/>
          <w:color w:val="auto"/>
          <w:sz w:val="28"/>
        </w:rPr>
      </w:pPr>
      <w:r>
        <w:rPr>
          <w:rFonts w:hint="eastAsia" w:ascii="仿宋" w:hAnsi="仿宋" w:eastAsia="仿宋"/>
          <w:b/>
          <w:color w:val="auto"/>
          <w:sz w:val="28"/>
        </w:rPr>
        <w:t>六、上市公司</w:t>
      </w:r>
      <w:r>
        <w:rPr>
          <w:rFonts w:hint="eastAsia" w:ascii="仿宋" w:hAnsi="仿宋" w:eastAsia="仿宋"/>
          <w:b/>
          <w:color w:val="auto"/>
          <w:sz w:val="28"/>
          <w:lang w:val="en-US" w:eastAsia="zh-CN"/>
        </w:rPr>
        <w:t>六</w:t>
      </w:r>
      <w:r>
        <w:rPr>
          <w:rFonts w:hint="eastAsia" w:ascii="仿宋" w:hAnsi="仿宋" w:eastAsia="仿宋"/>
          <w:b/>
          <w:color w:val="auto"/>
          <w:sz w:val="28"/>
        </w:rPr>
        <w:t>月违规案例精选</w:t>
      </w:r>
    </w:p>
    <w:p>
      <w:pPr>
        <w:spacing w:line="360" w:lineRule="auto"/>
        <w:ind w:firstLine="562" w:firstLineChars="200"/>
        <w:rPr>
          <w:rFonts w:ascii="仿宋" w:hAnsi="仿宋" w:eastAsia="仿宋" w:cs="仿宋"/>
          <w:b/>
          <w:color w:val="auto"/>
          <w:sz w:val="28"/>
          <w:szCs w:val="28"/>
        </w:rPr>
      </w:pPr>
      <w:r>
        <w:rPr>
          <w:rFonts w:ascii="仿宋" w:hAnsi="仿宋" w:eastAsia="仿宋" w:cs="仿宋"/>
          <w:b/>
          <w:color w:val="auto"/>
          <w:sz w:val="28"/>
          <w:szCs w:val="28"/>
        </w:rPr>
        <w:t xml:space="preserve">1. </w:t>
      </w:r>
      <w:r>
        <w:rPr>
          <w:rFonts w:hint="eastAsia" w:ascii="仿宋" w:hAnsi="仿宋" w:eastAsia="仿宋" w:cs="仿宋"/>
          <w:b/>
          <w:color w:val="auto"/>
          <w:sz w:val="28"/>
          <w:szCs w:val="28"/>
        </w:rPr>
        <w:t>闲置募集资金现金管理没有赎回怎么办？</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【案例简介】</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2021年12月9日，创业板某上市公司董事会审议通过使用合计不超过1.98亿元的闲置募集资金进行现金管理，使用期限自董事会审议通过后12个月内有效。2023年4月27日，公司披露公告称，在上述使用期限到期后，公司在2023年1月至4月期间继续使用部分暂时闲置募集资金约2亿元进行现金管理，未按照相关规定履行审议程序，直至2023年4月25日召开董事会补充履行了审议程序。</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【纪律处分及监管措施】</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深圳证券交易所认为，上市公司的上述行为违反了《深圳证券交易所创业板股票上市规则（2023年修订）》第1.4条和《上市公司自律监管指引第2号——创业板上市公司规范运作》第6.3.5条第一款第二项的规定，因此对上市公司出具监管函。</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【规则摘要】</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《深圳证券交易所上市公司自律监管指引第2号——创业板上市公司规范运作》</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6.3.5上市公司将募集资金用作以下事项时，应当经董事会审议通过，并由独立董事、监事会以及保荐机构或者独立财务顾问发表明确同意意见：</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（二）使用暂时闲置的募集资金进行现金管理；</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【信公提示】</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上市公司使用闲置募集资金进行现金管理应当经过董事会审议，在上一年度现金管理额度即将到期时，如果理财产品无法立即赎回，建议在额度到期前及时审议一个新的额度。</w:t>
      </w:r>
    </w:p>
    <w:p>
      <w:pPr>
        <w:spacing w:line="360" w:lineRule="auto"/>
        <w:ind w:firstLine="560" w:firstLineChars="200"/>
        <w:rPr>
          <w:rFonts w:ascii="仿宋" w:hAnsi="仿宋" w:eastAsia="仿宋" w:cs="仿宋"/>
          <w:color w:val="auto"/>
          <w:sz w:val="28"/>
          <w:szCs w:val="28"/>
        </w:rPr>
      </w:pPr>
    </w:p>
    <w:p>
      <w:pPr>
        <w:spacing w:line="360" w:lineRule="auto"/>
        <w:ind w:firstLine="562" w:firstLineChars="200"/>
        <w:rPr>
          <w:color w:val="auto"/>
        </w:rPr>
      </w:pPr>
      <w:r>
        <w:rPr>
          <w:rFonts w:hint="eastAsia" w:ascii="仿宋" w:hAnsi="仿宋" w:eastAsia="仿宋" w:cs="仿宋"/>
          <w:b/>
          <w:color w:val="auto"/>
          <w:sz w:val="28"/>
          <w:szCs w:val="28"/>
        </w:rPr>
        <w:t>2</w:t>
      </w:r>
      <w:r>
        <w:rPr>
          <w:rFonts w:ascii="仿宋" w:hAnsi="仿宋" w:eastAsia="仿宋" w:cs="仿宋"/>
          <w:b/>
          <w:color w:val="auto"/>
          <w:sz w:val="28"/>
          <w:szCs w:val="28"/>
        </w:rPr>
        <w:t>.</w:t>
      </w:r>
      <w:r>
        <w:rPr>
          <w:rFonts w:hint="eastAsia"/>
          <w:color w:val="auto"/>
        </w:rPr>
        <w:t xml:space="preserve"> </w:t>
      </w:r>
      <w:r>
        <w:rPr>
          <w:rFonts w:hint="eastAsia" w:ascii="仿宋" w:hAnsi="仿宋" w:eastAsia="仿宋" w:cs="仿宋"/>
          <w:b/>
          <w:color w:val="auto"/>
          <w:sz w:val="28"/>
          <w:szCs w:val="28"/>
        </w:rPr>
        <w:t>对外投资构成财务资助？</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【案例简介】</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深主板某上市公司于 2023 年 4 月 29 日披露的《2022 年年度报告》和2023 年 5 月 24 日披露的《关于对深圳证券交易所年报问询函回复的公告》显示，公司子公司A公司于 2022 年 8 月 22 日与珠海某公司签订《合作协议》，共同设立NBHS，从事新能源领域方面业务拓展；A公司于 2022 年 9月 14日将本次对外投资款1,000万元转给第三方WTF投资公司由其代为转付至NBHS；WTF于 2022 年 10 月 10 日代为转付给NBHS 300 万元，剩余 700 万元仍存放于WTF。</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【纪律处分及监管措施】</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深圳证券交易所认为，上市公司的上述行为构成对WTF的对外财务资助行为，违反了《深圳证券交易所股票上市规则（2022 年修订）》第 1.4 条、第 2.1.1 条、第 6.1.9 条的规定，因此对上市公司出具监管函。</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【规则摘要】</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《深圳证券交易所股票上市规则（2023 年修订）》</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6.1.9上市公司提供财务资助，除应当经全体董事的过半数审议通过外，还应当经出席董事会会议的三分之二以上董事审议同意并作出决议，并及时对外披露。</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《深圳证券交易所上市公司自律监管指引第1号——主板上市公司规范运作》</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6.1.2 上市公司应当建立健全有关财务资助的内部控制制度，在公司章程或者公司其他规章制度中明确股东大会、董事会审批提供财务资助的审批权限、审议程序以及违反审批权限、审议程序的责任追究机制，采取充分、有效的风险防范措施。</w:t>
      </w:r>
    </w:p>
    <w:p>
      <w:pPr>
        <w:spacing w:line="360" w:lineRule="auto"/>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【信公提示】</w:t>
      </w:r>
    </w:p>
    <w:p>
      <w:pPr>
        <w:spacing w:line="360" w:lineRule="auto"/>
        <w:ind w:firstLine="560" w:firstLineChars="200"/>
        <w:rPr>
          <w:rFonts w:ascii="仿宋" w:hAnsi="仿宋" w:eastAsia="仿宋" w:cs="仿宋"/>
          <w:b/>
          <w:color w:val="auto"/>
          <w:sz w:val="28"/>
          <w:szCs w:val="28"/>
        </w:rPr>
      </w:pPr>
      <w:r>
        <w:rPr>
          <w:rFonts w:hint="eastAsia" w:ascii="仿宋" w:hAnsi="仿宋" w:eastAsia="仿宋" w:cs="仿宋"/>
          <w:color w:val="auto"/>
          <w:sz w:val="28"/>
          <w:szCs w:val="28"/>
        </w:rPr>
        <w:t>上述案例开始属于正常的对外投资行为，但后续上市公司支付对外投资款时付款比例超过了正常安排，构成对外提供财务资助行为。因此上市公司建立健全内部控制度，谨防“特殊形式”的财务资助行为。</w:t>
      </w:r>
    </w:p>
    <w:p>
      <w:pPr>
        <w:spacing w:line="360" w:lineRule="auto"/>
        <w:ind w:firstLine="562" w:firstLineChars="200"/>
        <w:rPr>
          <w:rFonts w:ascii="仿宋" w:hAnsi="仿宋" w:eastAsia="仿宋" w:cs="仿宋"/>
          <w:b/>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hY2M3ZjQ0NDkzNzBhMjkxNGFjZDQyNGExZDIwNjMifQ=="/>
  </w:docVars>
  <w:rsids>
    <w:rsidRoot w:val="5CA456FA"/>
    <w:rsid w:val="0003298A"/>
    <w:rsid w:val="00074D92"/>
    <w:rsid w:val="00091ABF"/>
    <w:rsid w:val="000925A6"/>
    <w:rsid w:val="000D2958"/>
    <w:rsid w:val="001201C0"/>
    <w:rsid w:val="00135E58"/>
    <w:rsid w:val="001733F4"/>
    <w:rsid w:val="001F1EDE"/>
    <w:rsid w:val="002071AC"/>
    <w:rsid w:val="002202DE"/>
    <w:rsid w:val="0023716C"/>
    <w:rsid w:val="002836A6"/>
    <w:rsid w:val="002860E7"/>
    <w:rsid w:val="002C52F1"/>
    <w:rsid w:val="002D46AF"/>
    <w:rsid w:val="00300266"/>
    <w:rsid w:val="00456638"/>
    <w:rsid w:val="00502292"/>
    <w:rsid w:val="00542672"/>
    <w:rsid w:val="00553805"/>
    <w:rsid w:val="00565C1F"/>
    <w:rsid w:val="00567A23"/>
    <w:rsid w:val="0057072F"/>
    <w:rsid w:val="00634DD8"/>
    <w:rsid w:val="00662752"/>
    <w:rsid w:val="006A2010"/>
    <w:rsid w:val="006B4BC7"/>
    <w:rsid w:val="006E4910"/>
    <w:rsid w:val="00706583"/>
    <w:rsid w:val="0077380A"/>
    <w:rsid w:val="007A5E44"/>
    <w:rsid w:val="00832BA2"/>
    <w:rsid w:val="008443B7"/>
    <w:rsid w:val="00905FA6"/>
    <w:rsid w:val="009233CE"/>
    <w:rsid w:val="0093672A"/>
    <w:rsid w:val="00947D35"/>
    <w:rsid w:val="00967ED2"/>
    <w:rsid w:val="009B4AF1"/>
    <w:rsid w:val="00A0048E"/>
    <w:rsid w:val="00A2065C"/>
    <w:rsid w:val="00A25C9D"/>
    <w:rsid w:val="00A450DC"/>
    <w:rsid w:val="00AB7415"/>
    <w:rsid w:val="00AE2C15"/>
    <w:rsid w:val="00AF5A65"/>
    <w:rsid w:val="00B12211"/>
    <w:rsid w:val="00B150AF"/>
    <w:rsid w:val="00BF15A3"/>
    <w:rsid w:val="00BF36C0"/>
    <w:rsid w:val="00C063F5"/>
    <w:rsid w:val="00C14AC7"/>
    <w:rsid w:val="00C4787B"/>
    <w:rsid w:val="00C50CF6"/>
    <w:rsid w:val="00D4346F"/>
    <w:rsid w:val="00D803FB"/>
    <w:rsid w:val="00DD6843"/>
    <w:rsid w:val="00DF64B8"/>
    <w:rsid w:val="00E1689B"/>
    <w:rsid w:val="00E412EA"/>
    <w:rsid w:val="00F216F4"/>
    <w:rsid w:val="00F94756"/>
    <w:rsid w:val="00FA2724"/>
    <w:rsid w:val="00FE5E55"/>
    <w:rsid w:val="00FF5D07"/>
    <w:rsid w:val="08324530"/>
    <w:rsid w:val="111E6522"/>
    <w:rsid w:val="1380485E"/>
    <w:rsid w:val="14C17DD8"/>
    <w:rsid w:val="26165EB3"/>
    <w:rsid w:val="2DE34E7D"/>
    <w:rsid w:val="30AC56BF"/>
    <w:rsid w:val="383B2000"/>
    <w:rsid w:val="3FF34060"/>
    <w:rsid w:val="48966ECA"/>
    <w:rsid w:val="4ABF3832"/>
    <w:rsid w:val="55BF28E5"/>
    <w:rsid w:val="5CA456FA"/>
    <w:rsid w:val="68E317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00"/>
      <w:u w:val="none"/>
    </w:rPr>
  </w:style>
  <w:style w:type="character" w:styleId="14">
    <w:name w:val="annotation reference"/>
    <w:basedOn w:val="11"/>
    <w:unhideWhenUsed/>
    <w:qFormat/>
    <w:uiPriority w:val="99"/>
    <w:rPr>
      <w:sz w:val="21"/>
      <w:szCs w:val="21"/>
    </w:rPr>
  </w:style>
  <w:style w:type="character" w:customStyle="1" w:styleId="15">
    <w:name w:val="批注文字 字符"/>
    <w:basedOn w:val="11"/>
    <w:link w:val="3"/>
    <w:qFormat/>
    <w:uiPriority w:val="99"/>
    <w:rPr>
      <w:rFonts w:asciiTheme="minorHAnsi" w:hAnsiTheme="minorHAnsi" w:eastAsiaTheme="minorEastAsia" w:cstheme="minorBidi"/>
      <w:kern w:val="2"/>
      <w:sz w:val="21"/>
      <w:szCs w:val="22"/>
    </w:rPr>
  </w:style>
  <w:style w:type="character" w:customStyle="1" w:styleId="16">
    <w:name w:val="批注框文本 字符"/>
    <w:basedOn w:val="11"/>
    <w:link w:val="4"/>
    <w:qFormat/>
    <w:uiPriority w:val="99"/>
    <w:rPr>
      <w:rFonts w:asciiTheme="minorHAnsi" w:hAnsiTheme="minorHAnsi" w:eastAsiaTheme="minorEastAsia" w:cstheme="minorBidi"/>
      <w:kern w:val="2"/>
      <w:sz w:val="18"/>
      <w:szCs w:val="18"/>
    </w:rPr>
  </w:style>
  <w:style w:type="character" w:customStyle="1" w:styleId="17">
    <w:name w:val="页眉 字符"/>
    <w:basedOn w:val="11"/>
    <w:link w:val="6"/>
    <w:qFormat/>
    <w:uiPriority w:val="99"/>
    <w:rPr>
      <w:rFonts w:ascii="Calibri" w:hAnsi="Calibri"/>
      <w:kern w:val="2"/>
      <w:sz w:val="18"/>
      <w:szCs w:val="24"/>
    </w:rPr>
  </w:style>
  <w:style w:type="character" w:customStyle="1" w:styleId="18">
    <w:name w:val="页脚 字符"/>
    <w:basedOn w:val="11"/>
    <w:link w:val="5"/>
    <w:qFormat/>
    <w:uiPriority w:val="99"/>
    <w:rPr>
      <w:rFonts w:ascii="Calibri" w:hAnsi="Calibri"/>
      <w:kern w:val="2"/>
      <w:sz w:val="18"/>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字符"/>
    <w:basedOn w:val="15"/>
    <w:link w:val="8"/>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4"/>
              <c:layout>
                <c:manualLayout>
                  <c:x val="0.00843170320404722"/>
                  <c:y val="0.06578947368421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202887581716704"/>
                  <c:y val="0.088450148501174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74906367041198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0998751560549318"/>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55872316129117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日常消费</c:v>
                </c:pt>
                <c:pt idx="1">
                  <c:v>材料</c:v>
                </c:pt>
                <c:pt idx="2">
                  <c:v>工业</c:v>
                </c:pt>
                <c:pt idx="3">
                  <c:v>信息技术</c:v>
                </c:pt>
                <c:pt idx="4">
                  <c:v>医疗保健</c:v>
                </c:pt>
                <c:pt idx="5">
                  <c:v>可选消费</c:v>
                </c:pt>
                <c:pt idx="6">
                  <c:v>金融</c:v>
                </c:pt>
                <c:pt idx="7">
                  <c:v>能源</c:v>
                </c:pt>
                <c:pt idx="8">
                  <c:v>公用事业</c:v>
                </c:pt>
              </c:strCache>
            </c:strRef>
          </c:cat>
          <c:val>
            <c:numRef>
              <c:f>Sheet2!$B$18:$B$26</c:f>
              <c:numCache>
                <c:formatCode>General</c:formatCode>
                <c:ptCount val="9"/>
                <c:pt idx="0">
                  <c:v>3609.75</c:v>
                </c:pt>
                <c:pt idx="1">
                  <c:v>3587.99</c:v>
                </c:pt>
                <c:pt idx="2">
                  <c:v>2056.59</c:v>
                </c:pt>
                <c:pt idx="3">
                  <c:v>1527.26</c:v>
                </c:pt>
                <c:pt idx="4">
                  <c:v>1308.48</c:v>
                </c:pt>
                <c:pt idx="5">
                  <c:v>764.49</c:v>
                </c:pt>
                <c:pt idx="6">
                  <c:v>546.69</c:v>
                </c:pt>
                <c:pt idx="7">
                  <c:v>330.1</c:v>
                </c:pt>
                <c:pt idx="8">
                  <c:v>210.28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rgbClr val="D9D9D9"/>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Sheet3!$B$1</c:f>
              <c:strCache>
                <c:ptCount val="1"/>
                <c:pt idx="0">
                  <c:v>市值（亿元）（2023-06-30）</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Sheet3!$A$2:$A$11</c:f>
              <c:strCache>
                <c:ptCount val="10"/>
                <c:pt idx="0">
                  <c:v>牧原股份</c:v>
                </c:pt>
                <c:pt idx="1">
                  <c:v>洛阳钼业</c:v>
                </c:pt>
                <c:pt idx="2">
                  <c:v>中航光电</c:v>
                </c:pt>
                <c:pt idx="3">
                  <c:v>双汇发展</c:v>
                </c:pt>
                <c:pt idx="4">
                  <c:v>华兰生物</c:v>
                </c:pt>
                <c:pt idx="5">
                  <c:v>龙佰集团</c:v>
                </c:pt>
                <c:pt idx="6">
                  <c:v>宇通客车</c:v>
                </c:pt>
                <c:pt idx="7">
                  <c:v>安图生物</c:v>
                </c:pt>
                <c:pt idx="8">
                  <c:v>神火股份</c:v>
                </c:pt>
                <c:pt idx="9">
                  <c:v>许继电气</c:v>
                </c:pt>
              </c:strCache>
            </c:strRef>
          </c:cat>
          <c:val>
            <c:numRef>
              <c:f>Sheet3!$B$2:$B$11</c:f>
              <c:numCache>
                <c:formatCode>General</c:formatCode>
                <c:ptCount val="10"/>
                <c:pt idx="0">
                  <c:v>2303.64</c:v>
                </c:pt>
                <c:pt idx="1">
                  <c:v>1151.24</c:v>
                </c:pt>
                <c:pt idx="2">
                  <c:v>961.44</c:v>
                </c:pt>
                <c:pt idx="3">
                  <c:v>848.5</c:v>
                </c:pt>
                <c:pt idx="4">
                  <c:v>408.84</c:v>
                </c:pt>
                <c:pt idx="5">
                  <c:v>394.23</c:v>
                </c:pt>
                <c:pt idx="6">
                  <c:v>326.33</c:v>
                </c:pt>
                <c:pt idx="7">
                  <c:v>303.28</c:v>
                </c:pt>
                <c:pt idx="8">
                  <c:v>292.63</c:v>
                </c:pt>
                <c:pt idx="9">
                  <c:v>232.42</c:v>
                </c:pt>
              </c:numCache>
            </c:numRef>
          </c:val>
        </c:ser>
        <c:dLbls>
          <c:showLegendKey val="0"/>
          <c:showVal val="1"/>
          <c:showCatName val="0"/>
          <c:showSerName val="0"/>
          <c:showPercent val="0"/>
          <c:showBubbleSize val="0"/>
        </c:dLbls>
        <c:gapWidth val="75"/>
        <c:axId val="197067424"/>
        <c:axId val="197065792"/>
      </c:barChart>
      <c:catAx>
        <c:axId val="19706742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5792"/>
        <c:crosses val="autoZero"/>
        <c:auto val="1"/>
        <c:lblAlgn val="ctr"/>
        <c:lblOffset val="100"/>
        <c:noMultiLvlLbl val="0"/>
      </c:catAx>
      <c:valAx>
        <c:axId val="197065792"/>
        <c:scaling>
          <c:orientation val="minMax"/>
          <c:max val="2500"/>
        </c:scaling>
        <c:delete val="0"/>
        <c:axPos val="l"/>
        <c:majorGridlines>
          <c:spPr>
            <a:ln w="9525" cap="flat" cmpd="sng" algn="ctr">
              <a:noFill/>
              <a:prstDash val="solid"/>
              <a:round/>
            </a:ln>
          </c:spPr>
        </c:majorGridlines>
        <c:numFmt formatCode="#,##0.00_);[Red]\(#,##0.0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7067424"/>
        <c:crosses val="autoZero"/>
        <c:crossBetween val="between"/>
        <c:majorUnit val="625"/>
      </c:valAx>
      <c:spPr>
        <a:ln>
          <a:noFill/>
        </a:ln>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飞龙股份</c:v>
                </c:pt>
                <c:pt idx="1">
                  <c:v>仕佳光子</c:v>
                </c:pt>
                <c:pt idx="2">
                  <c:v>牧原股份</c:v>
                </c:pt>
                <c:pt idx="3">
                  <c:v>神火股份</c:v>
                </c:pt>
                <c:pt idx="4">
                  <c:v>汉威科技</c:v>
                </c:pt>
                <c:pt idx="5">
                  <c:v>洛阳钼业</c:v>
                </c:pt>
                <c:pt idx="6">
                  <c:v>中航光电</c:v>
                </c:pt>
                <c:pt idx="7">
                  <c:v>中原传媒</c:v>
                </c:pt>
                <c:pt idx="8">
                  <c:v>许继电气</c:v>
                </c:pt>
                <c:pt idx="9">
                  <c:v>拓新药业</c:v>
                </c:pt>
              </c:strCache>
            </c:strRef>
          </c:cat>
          <c:val>
            <c:numRef>
              <c:f>Sheet1!$B$2:$B$11</c:f>
              <c:numCache>
                <c:formatCode>###,###,###,##0.0000</c:formatCode>
                <c:ptCount val="10"/>
                <c:pt idx="0">
                  <c:v>197.26</c:v>
                </c:pt>
                <c:pt idx="1">
                  <c:v>156.44</c:v>
                </c:pt>
                <c:pt idx="2">
                  <c:v>148.47</c:v>
                </c:pt>
                <c:pt idx="3">
                  <c:v>109.56</c:v>
                </c:pt>
                <c:pt idx="4">
                  <c:v>108.9</c:v>
                </c:pt>
                <c:pt idx="5">
                  <c:v>107.21</c:v>
                </c:pt>
                <c:pt idx="6">
                  <c:v>77.13</c:v>
                </c:pt>
                <c:pt idx="7">
                  <c:v>75.8</c:v>
                </c:pt>
                <c:pt idx="8">
                  <c:v>66.31</c:v>
                </c:pt>
                <c:pt idx="9">
                  <c:v>66.15</c:v>
                </c:pt>
              </c:numCache>
            </c:numRef>
          </c:val>
        </c:ser>
        <c:dLbls>
          <c:showLegendKey val="0"/>
          <c:showVal val="1"/>
          <c:showCatName val="0"/>
          <c:showSerName val="0"/>
          <c:showPercent val="0"/>
          <c:showBubbleSize val="0"/>
        </c:dLbls>
        <c:gapWidth val="75"/>
        <c:axId val="121946672"/>
        <c:axId val="121939600"/>
      </c:barChart>
      <c:catAx>
        <c:axId val="12194667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39600"/>
        <c:crosses val="autoZero"/>
        <c:auto val="1"/>
        <c:lblAlgn val="ctr"/>
        <c:lblOffset val="100"/>
        <c:noMultiLvlLbl val="0"/>
      </c:catAx>
      <c:valAx>
        <c:axId val="121939600"/>
        <c:scaling>
          <c:orientation val="minMax"/>
          <c:max val="20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1946672"/>
        <c:crosses val="autoZero"/>
        <c:crossBetween val="between"/>
        <c:majorUnit val="5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18</Pages>
  <Words>9943</Words>
  <Characters>12652</Characters>
  <Lines>87</Lines>
  <Paragraphs>24</Paragraphs>
  <TotalTime>1</TotalTime>
  <ScaleCrop>false</ScaleCrop>
  <LinksUpToDate>false</LinksUpToDate>
  <CharactersWithSpaces>12752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2019-03-11T01:10:00Z</dcterms:created>
  <dc:creator>Annie</dc:creator>
  <cp:lastModifiedBy>静帆</cp:lastModifiedBy>
  <cp:lastPrinted>2019-03-05T08:32:00Z</cp:lastPrinted>
  <dcterms:modified xsi:type="dcterms:W3CDTF">2023-07-11T01:00:08Z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D6FAF800358A48D49663E3175CA5A3A0_13</vt:lpwstr>
  </property>
</Properties>
</file>