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jc w:val="center"/>
      </w:pPr>
      <w:r>
        <w:rPr>
          <w:rFonts w:ascii="华文中宋" w:hAnsi="华文中宋" w:eastAsia="华文中宋" w:cs="Arial"/>
          <w:b/>
          <w:sz w:val="40"/>
          <w:szCs w:val="2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华文中宋" w:hAnsi="华文中宋" w:eastAsia="华文中宋" w:cs="Arial"/>
          <w:b/>
          <w:sz w:val="40"/>
          <w:szCs w:val="28"/>
        </w:rPr>
        <w:instrText xml:space="preserve">ADDIN CNKISM.UserStyle</w:instrText>
      </w:r>
      <w:r>
        <w:rPr>
          <w:rFonts w:ascii="华文中宋" w:hAnsi="华文中宋" w:eastAsia="华文中宋" w:cs="Arial"/>
          <w:b/>
          <w:sz w:val="40"/>
          <w:szCs w:val="28"/>
        </w:rPr>
        <w:fldChar w:fldCharType="end"/>
      </w:r>
      <w:r>
        <w:rPr>
          <w:rFonts w:hint="eastAsia" w:ascii="华文中宋" w:hAnsi="华文中宋" w:eastAsia="华文中宋" w:cs="Arial"/>
          <w:b/>
          <w:sz w:val="40"/>
          <w:szCs w:val="28"/>
        </w:rPr>
        <w:t>河南辖区上市公司</w:t>
      </w:r>
      <w:r>
        <w:rPr>
          <w:rFonts w:ascii="华文中宋" w:hAnsi="华文中宋" w:eastAsia="华文中宋" w:cs="Arial"/>
          <w:b/>
          <w:sz w:val="40"/>
          <w:szCs w:val="28"/>
        </w:rPr>
        <w:t>1</w:t>
      </w:r>
      <w:r>
        <w:rPr>
          <w:rFonts w:hint="eastAsia" w:ascii="华文中宋" w:hAnsi="华文中宋" w:eastAsia="华文中宋" w:cs="Arial"/>
          <w:b/>
          <w:sz w:val="40"/>
          <w:szCs w:val="28"/>
        </w:rPr>
        <w:t>2</w:t>
      </w:r>
      <w:r>
        <w:rPr>
          <w:rFonts w:ascii="华文中宋" w:hAnsi="华文中宋" w:eastAsia="华文中宋" w:cs="Arial"/>
          <w:b/>
          <w:sz w:val="40"/>
          <w:szCs w:val="28"/>
        </w:rPr>
        <w:t>月</w:t>
      </w:r>
      <w:r>
        <w:rPr>
          <w:rFonts w:hint="eastAsia" w:ascii="华文中宋" w:hAnsi="华文中宋" w:eastAsia="华文中宋" w:cs="Arial"/>
          <w:b/>
          <w:sz w:val="40"/>
          <w:szCs w:val="28"/>
        </w:rPr>
        <w:t>市场动态</w:t>
      </w:r>
    </w:p>
    <w:p>
      <w:pPr>
        <w:spacing w:after="156" w:afterLines="50" w:line="360" w:lineRule="auto"/>
        <w:ind w:firstLine="560" w:firstLineChars="200"/>
        <w:rPr>
          <w:rFonts w:ascii="仿宋" w:hAnsi="仿宋" w:eastAsia="仿宋"/>
          <w:sz w:val="28"/>
        </w:rPr>
      </w:pPr>
      <w:r>
        <w:rPr>
          <w:rFonts w:hint="eastAsia" w:ascii="仿宋" w:hAnsi="仿宋" w:eastAsia="仿宋"/>
          <w:sz w:val="28"/>
        </w:rPr>
        <w:t>河南上市公司协会联合上海信公科技集团股份有限公司，就河南辖区上市公司2023年1</w:t>
      </w:r>
      <w:r>
        <w:rPr>
          <w:rFonts w:hint="eastAsia" w:ascii="仿宋" w:hAnsi="仿宋" w:eastAsia="仿宋"/>
          <w:sz w:val="28"/>
          <w:lang w:val="en-US" w:eastAsia="zh-CN"/>
        </w:rPr>
        <w:t>2</w:t>
      </w:r>
      <w:r>
        <w:rPr>
          <w:rFonts w:hint="eastAsia" w:ascii="仿宋" w:hAnsi="仿宋" w:eastAsia="仿宋"/>
          <w:sz w:val="28"/>
        </w:rPr>
        <w:t>月份市场表现及公开披露的相关信息进行归纳总结、对比分析，具体如下：</w:t>
      </w:r>
      <w:bookmarkStart w:id="0" w:name="_GoBack"/>
      <w:bookmarkEnd w:id="0"/>
    </w:p>
    <w:p>
      <w:pPr>
        <w:spacing w:after="156" w:afterLines="50" w:line="360" w:lineRule="auto"/>
        <w:rPr>
          <w:rFonts w:ascii="仿宋" w:hAnsi="仿宋" w:eastAsia="仿宋"/>
          <w:b/>
          <w:sz w:val="28"/>
        </w:rPr>
      </w:pPr>
      <w:r>
        <w:rPr>
          <w:rFonts w:hint="eastAsia" w:ascii="仿宋" w:hAnsi="仿宋" w:eastAsia="仿宋"/>
          <w:b/>
          <w:sz w:val="28"/>
        </w:rPr>
        <w:t>一、十二</w:t>
      </w:r>
      <w:r>
        <w:rPr>
          <w:rFonts w:ascii="仿宋" w:hAnsi="仿宋" w:eastAsia="仿宋"/>
          <w:b/>
          <w:sz w:val="28"/>
        </w:rPr>
        <w:t>月</w:t>
      </w:r>
      <w:r>
        <w:rPr>
          <w:rFonts w:hint="eastAsia" w:ascii="仿宋" w:hAnsi="仿宋" w:eastAsia="仿宋"/>
          <w:b/>
          <w:sz w:val="28"/>
        </w:rPr>
        <w:t>国内重要财经新闻浏览</w:t>
      </w:r>
    </w:p>
    <w:p>
      <w:pPr>
        <w:widowControl/>
        <w:ind w:firstLine="562" w:firstLineChars="200"/>
        <w:rPr>
          <w:rFonts w:ascii="仿宋" w:hAnsi="仿宋" w:eastAsia="仿宋" w:cs="仿宋"/>
          <w:sz w:val="28"/>
          <w:szCs w:val="28"/>
        </w:rPr>
      </w:pPr>
      <w:r>
        <w:rPr>
          <w:rFonts w:hint="eastAsia" w:ascii="仿宋" w:hAnsi="仿宋" w:eastAsia="仿宋" w:cs="仿宋"/>
          <w:b/>
          <w:sz w:val="28"/>
          <w:szCs w:val="28"/>
        </w:rPr>
        <w:t>1</w:t>
      </w:r>
      <w:r>
        <w:rPr>
          <w:rFonts w:ascii="仿宋" w:hAnsi="仿宋" w:eastAsia="仿宋" w:cs="仿宋"/>
          <w:b/>
          <w:sz w:val="28"/>
          <w:szCs w:val="28"/>
        </w:rPr>
        <w:t>.</w:t>
      </w:r>
      <w:r>
        <w:rPr>
          <w:rFonts w:hint="eastAsia" w:ascii="仿宋" w:hAnsi="仿宋" w:eastAsia="仿宋" w:cs="仿宋"/>
          <w:b/>
          <w:sz w:val="28"/>
          <w:szCs w:val="28"/>
        </w:rPr>
        <w:t>国资委：央企要更加注重提升经济增加值坚决遏制盲目投资冲动。</w:t>
      </w:r>
      <w:r>
        <w:rPr>
          <w:rFonts w:hint="eastAsia" w:ascii="仿宋" w:hAnsi="仿宋" w:eastAsia="仿宋" w:cs="仿宋"/>
          <w:sz w:val="28"/>
          <w:szCs w:val="28"/>
        </w:rPr>
        <w:t>财联社12月26日电，国务院国资委12月25日至26日召开中央企业负责人会议，总结2023年国资央企工作，研究部署2024年重点任务。会议强调，企业要围绕增强核心功能、提高核心竞争力，突出重点、把握关键，更加注重提升五个方面的价值，即更加注重提升增加值，进一步树牢正确发展观、政绩观，坚定不移发展壮大国有经济，提高中央企业对国民经济增长的贡献度；更加注重提升功能价值，进一步强化战略意识和功能导向，高水平实现经济属性、政治属性、社会属性的有机统一，更好体现在服务国家战略目标和现代化建设全局中的地位作用；更加注重提升经济增加值，优化资本投向和布局，坚决遏制盲目投资冲动，减少低效无效资本占用，形成更多有利润的收入、有现金流的利润，提高企业经营效率和质量；更加注重提升战略性新兴产业收入和增加值占比，进一步增强加快产业升级、建设现代化产业体系的危机感紧迫感，加快转向创新驱动的内涵式增长，大力推进新型工业化，打造新的产业支柱，加大力度发展新质生产力；更加注重提升品牌价值，树立高目标追求，关注表外资产，不断提高企业品牌附加值和品牌引领力，加快建设世界一流企业，在服务国家战略中不断做强做优做大，更好推动党中央决策部署在国资央企落实落地。</w:t>
      </w:r>
    </w:p>
    <w:p>
      <w:pPr>
        <w:widowControl/>
        <w:ind w:firstLine="562" w:firstLineChars="200"/>
        <w:rPr>
          <w:rFonts w:ascii="仿宋" w:hAnsi="仿宋" w:eastAsia="仿宋" w:cs="仿宋"/>
          <w:sz w:val="28"/>
          <w:szCs w:val="28"/>
        </w:rPr>
      </w:pPr>
      <w:r>
        <w:rPr>
          <w:rFonts w:hint="eastAsia" w:ascii="仿宋" w:hAnsi="仿宋" w:eastAsia="仿宋" w:cs="仿宋"/>
          <w:b/>
          <w:sz w:val="28"/>
          <w:szCs w:val="28"/>
        </w:rPr>
        <w:t>2</w:t>
      </w:r>
      <w:r>
        <w:rPr>
          <w:rFonts w:ascii="仿宋" w:hAnsi="仿宋" w:eastAsia="仿宋" w:cs="仿宋"/>
          <w:b/>
          <w:sz w:val="28"/>
          <w:szCs w:val="28"/>
        </w:rPr>
        <w:t>.</w:t>
      </w:r>
      <w:r>
        <w:rPr>
          <w:rFonts w:hint="eastAsia" w:ascii="仿宋" w:hAnsi="仿宋" w:eastAsia="仿宋" w:cs="仿宋"/>
          <w:b/>
          <w:sz w:val="28"/>
          <w:szCs w:val="28"/>
        </w:rPr>
        <w:t>财政部：要扩大地方财力稳步推进后移消费税征收环节逐步提高直接税比重研究完善综合与分类相结合的个人所得税制度。</w:t>
      </w:r>
      <w:r>
        <w:rPr>
          <w:rFonts w:hint="eastAsia" w:ascii="仿宋" w:hAnsi="仿宋" w:eastAsia="仿宋" w:cs="仿宋"/>
          <w:sz w:val="28"/>
          <w:szCs w:val="28"/>
        </w:rPr>
        <w:t>联社12月29日电，财政部税政司司长贾荣鄂表示，我们将进一步深化税制改革，以推动高质量发展、维护市场统一、促进社会公平、推进中国式现代化为目标，完善税收制度，优化税制结构，健全地方税和直接税体系，推进更好发挥税收在国家治理中的基础性、支柱性、保障性作用。在健全地方税体系方面，要培育地方税源，扩大地方财力，合理配置地方税权，理顺税费关系，逐步建立规范、稳定、可持续的地方税体系；着力推进消费税改革，稳步推进后移消费税征收环节。在健全直接税体系方面，要着力健全以所得税和财产税为主体的直接税体系，逐步提高直接税比重；研究完善综合与分类相结合的个人所得税制度。我们将加强谋划和顶层设计，统筹当前与长远、中央与地方、公平与效率，增强改革的系统性、整体性和协同性，把握好时机、力度和节奏，积极稳妥推进税制改革。</w:t>
      </w:r>
    </w:p>
    <w:p>
      <w:pPr>
        <w:widowControl/>
        <w:ind w:firstLine="562" w:firstLineChars="200"/>
        <w:rPr>
          <w:rFonts w:ascii="仿宋" w:hAnsi="仿宋" w:eastAsia="仿宋" w:cs="仿宋"/>
          <w:sz w:val="28"/>
          <w:szCs w:val="28"/>
        </w:rPr>
      </w:pPr>
      <w:r>
        <w:rPr>
          <w:rFonts w:ascii="仿宋" w:hAnsi="仿宋" w:eastAsia="仿宋" w:cs="仿宋"/>
          <w:b/>
          <w:bCs/>
          <w:sz w:val="28"/>
          <w:szCs w:val="28"/>
        </w:rPr>
        <w:t>3.</w:t>
      </w:r>
      <w:r>
        <w:rPr>
          <w:rFonts w:hint="eastAsia" w:ascii="仿宋" w:hAnsi="仿宋" w:eastAsia="仿宋" w:cs="仿宋"/>
          <w:b/>
          <w:sz w:val="28"/>
          <w:szCs w:val="28"/>
        </w:rPr>
        <w:t>商务部：我国引资规模仍处于历史高位。</w:t>
      </w:r>
      <w:r>
        <w:rPr>
          <w:rFonts w:hint="eastAsia" w:ascii="仿宋" w:hAnsi="仿宋" w:eastAsia="仿宋" w:cs="仿宋"/>
          <w:sz w:val="28"/>
          <w:szCs w:val="28"/>
        </w:rPr>
        <w:t>财联社12月28日电，商务部新闻发言人何亚东表示，外资规模出现波动的原因是多方面的，既有经济因素，也有非经济因素。对外资规模的波动，也要多角度来看待。从纵向看，我国引资规模仍处于历史高位。2019年至2021年我国吸收外资连续三年刷新历史记录，2022年1-11月实际使用外资规模达到1.16万亿元，为历史同期最高水平。在上年高基数的情况下，今年1-11月吸引外资出现波动，是正常的。同时，1.04万亿元的引资规模仍处于历史高位。</w:t>
      </w:r>
    </w:p>
    <w:p>
      <w:pPr>
        <w:widowControl/>
        <w:ind w:firstLine="562" w:firstLineChars="200"/>
        <w:rPr>
          <w:rFonts w:ascii="仿宋" w:hAnsi="仿宋" w:eastAsia="仿宋" w:cs="仿宋"/>
          <w:bCs/>
          <w:color w:val="0000FF"/>
          <w:sz w:val="28"/>
          <w:szCs w:val="28"/>
        </w:rPr>
      </w:pPr>
      <w:r>
        <w:rPr>
          <w:rFonts w:ascii="仿宋" w:hAnsi="仿宋" w:eastAsia="仿宋" w:cs="仿宋"/>
          <w:b/>
          <w:bCs/>
          <w:sz w:val="28"/>
          <w:szCs w:val="28"/>
        </w:rPr>
        <w:t>4.</w:t>
      </w:r>
      <w:r>
        <w:rPr>
          <w:rFonts w:hint="eastAsia" w:ascii="仿宋" w:hAnsi="仿宋" w:eastAsia="仿宋" w:cs="仿宋"/>
          <w:b/>
          <w:bCs/>
          <w:sz w:val="28"/>
          <w:szCs w:val="28"/>
        </w:rPr>
        <w:t>央行：切实增强经济活力、防范化解风险、改善社会预期巩固和增强经济回升向好态势。</w:t>
      </w:r>
      <w:r>
        <w:rPr>
          <w:rFonts w:hint="eastAsia" w:ascii="仿宋" w:hAnsi="仿宋" w:eastAsia="仿宋" w:cs="仿宋"/>
          <w:bCs/>
          <w:sz w:val="28"/>
          <w:szCs w:val="28"/>
        </w:rPr>
        <w:t>财联社12月28日电，中国人民银行货币政策委员会2023年第四季度（总第103次）例会于12月27日在北京召开。会议强调，坚持稳中求进工作总基调，牢牢把握高质量发展首要任务，扎实推进中国式现代化，完整、准确、全面贯彻新发展理念，加快构建新发展格局。把实施扩大内需战略同深化供给侧结构性改革有机结合起来，进一步加强部门间政策协调配合，强化政策统筹，充分发挥货币信贷政策效能，兼顾好内部均衡和外部均衡。切实增强经济活力、防范化解风险、改善社会预期，巩固和增强经济回升向好态势，持续推动经济实现质的有效提升和量的合理增长。</w:t>
      </w:r>
    </w:p>
    <w:p>
      <w:pPr>
        <w:widowControl/>
        <w:ind w:firstLine="562" w:firstLineChars="200"/>
        <w:rPr>
          <w:rFonts w:ascii="仿宋" w:hAnsi="仿宋" w:eastAsia="仿宋" w:cs="仿宋"/>
          <w:bCs/>
          <w:sz w:val="28"/>
          <w:szCs w:val="28"/>
        </w:rPr>
      </w:pPr>
      <w:r>
        <w:rPr>
          <w:rFonts w:ascii="仿宋" w:hAnsi="仿宋" w:eastAsia="仿宋" w:cs="仿宋"/>
          <w:b/>
          <w:bCs/>
          <w:sz w:val="28"/>
          <w:szCs w:val="28"/>
        </w:rPr>
        <w:t>5.</w:t>
      </w:r>
      <w:r>
        <w:rPr>
          <w:rFonts w:hint="eastAsia" w:ascii="仿宋" w:hAnsi="仿宋" w:eastAsia="仿宋" w:cs="仿宋"/>
          <w:b/>
          <w:bCs/>
          <w:sz w:val="28"/>
          <w:szCs w:val="28"/>
        </w:rPr>
        <w:t>证监会：对通过多层嵌套、合谋交易、串联套利等方式违反“限售股不得融券”等要求的行为从严打击。</w:t>
      </w:r>
      <w:r>
        <w:rPr>
          <w:rFonts w:hint="eastAsia" w:ascii="仿宋" w:hAnsi="仿宋" w:eastAsia="仿宋" w:cs="仿宋"/>
          <w:bCs/>
          <w:sz w:val="28"/>
          <w:szCs w:val="28"/>
        </w:rPr>
        <w:t>财联社12月27日电，证监会有关部门负责人就融券新规落实情况答记者问。</w:t>
      </w:r>
    </w:p>
    <w:p>
      <w:pPr>
        <w:widowControl/>
        <w:ind w:firstLine="560" w:firstLineChars="200"/>
        <w:rPr>
          <w:rFonts w:ascii="仿宋" w:hAnsi="仿宋" w:eastAsia="仿宋" w:cs="仿宋"/>
          <w:bCs/>
          <w:sz w:val="28"/>
          <w:szCs w:val="28"/>
        </w:rPr>
      </w:pPr>
      <w:r>
        <w:rPr>
          <w:rFonts w:hint="eastAsia" w:ascii="仿宋" w:hAnsi="仿宋" w:eastAsia="仿宋" w:cs="仿宋"/>
          <w:bCs/>
          <w:sz w:val="28"/>
          <w:szCs w:val="28"/>
        </w:rPr>
        <w:t>问：近日，有媒体报道券商落地“限售股不得融券”新规，各家券商对客户约束的情况不一，证监会对此有何评价？</w:t>
      </w:r>
    </w:p>
    <w:p>
      <w:pPr>
        <w:widowControl/>
        <w:ind w:firstLine="560" w:firstLineChars="200"/>
        <w:rPr>
          <w:rFonts w:ascii="仿宋" w:hAnsi="仿宋" w:eastAsia="仿宋" w:cs="仿宋"/>
          <w:bCs/>
          <w:sz w:val="28"/>
          <w:szCs w:val="28"/>
        </w:rPr>
      </w:pPr>
      <w:r>
        <w:rPr>
          <w:rFonts w:hint="eastAsia" w:ascii="仿宋" w:hAnsi="仿宋" w:eastAsia="仿宋" w:cs="仿宋"/>
          <w:bCs/>
          <w:sz w:val="28"/>
          <w:szCs w:val="28"/>
        </w:rPr>
        <w:t>答：10月14日，沪深北交易所发布《关于优化融券交易和转融通证券出借交易相关安排的通知》，明确“投资者持有上市公司限售股份、战略配售股份，以及持有以大宗交易方式受让的大股东或者特定股东减持股份等有转让限制的股份的，在限制期内，投资者及其关联方不得融券卖出该上市公司股票”，进一步完善了“限售股不得融券”的要求。同时要求证券公司应当按照穿透原则核查投资者情况，对投资者的相关交易行为进行前端控制，严禁参与违规或为违规提供便利。</w:t>
      </w:r>
    </w:p>
    <w:p>
      <w:pPr>
        <w:widowControl/>
        <w:ind w:firstLine="560" w:firstLineChars="200"/>
        <w:rPr>
          <w:rFonts w:ascii="仿宋" w:hAnsi="仿宋" w:eastAsia="仿宋" w:cs="仿宋"/>
          <w:bCs/>
          <w:sz w:val="28"/>
          <w:szCs w:val="28"/>
        </w:rPr>
      </w:pPr>
      <w:r>
        <w:rPr>
          <w:rFonts w:hint="eastAsia" w:ascii="仿宋" w:hAnsi="仿宋" w:eastAsia="仿宋" w:cs="仿宋"/>
          <w:bCs/>
          <w:sz w:val="28"/>
          <w:szCs w:val="28"/>
        </w:rPr>
        <w:t>新规发布后，监管部门和行业协会通过发布通知、现场检查、行业培训等多种方式，督促证券公司落实新规要求。证券公司通过发布公告、修改合同、签署承诺书等方式将新规要求告知投资者，并抓紧完善系统，加强业务管控，在系统改造完成前，安排专人做好交易申报和前端控制，目前部分公司已上线新系统。整体来看，多数证券公司在落实新规要求上基本到位，但现场检查也发现个别证券公司存在关联方核查不够深入等问题。</w:t>
      </w:r>
    </w:p>
    <w:p>
      <w:pPr>
        <w:widowControl/>
        <w:ind w:firstLine="560" w:firstLineChars="200"/>
        <w:rPr>
          <w:rFonts w:ascii="仿宋" w:hAnsi="仿宋" w:eastAsia="仿宋" w:cs="仿宋"/>
          <w:bCs/>
          <w:sz w:val="28"/>
          <w:szCs w:val="28"/>
        </w:rPr>
      </w:pPr>
      <w:r>
        <w:rPr>
          <w:rFonts w:hint="eastAsia" w:ascii="仿宋" w:hAnsi="仿宋" w:eastAsia="仿宋" w:cs="仿宋"/>
          <w:bCs/>
          <w:sz w:val="28"/>
          <w:szCs w:val="28"/>
        </w:rPr>
        <w:t>下一步，证监会将按照中央金融工作会议要求，全面强化穿透式监管，一方面压实证券公司责任，督促证券公司按照“看不清，不展业”的要求，加强对客户交易行为和交易目的的穿透式管理，严禁参与违规或为违规提供便利，切实提高业务水平。另一方面强化监管执法，建立健全穿透式监管的工作机制，对通过多层嵌套、合谋交易、串联套利等方式违反“限售股不得融券”等要求的行为从严打击，发现一起，查处一起，也欢迎各市场参与方共同监督规定执行。</w:t>
      </w:r>
    </w:p>
    <w:p>
      <w:pPr>
        <w:widowControl/>
        <w:rPr>
          <w:rFonts w:ascii="仿宋" w:hAnsi="仿宋" w:eastAsia="仿宋" w:cs="仿宋"/>
          <w:b/>
          <w:bCs/>
          <w:sz w:val="28"/>
          <w:szCs w:val="28"/>
        </w:rPr>
      </w:pPr>
      <w:r>
        <w:rPr>
          <w:rFonts w:hint="eastAsia" w:ascii="仿宋" w:hAnsi="仿宋" w:eastAsia="仿宋" w:cs="仿宋"/>
          <w:b/>
          <w:bCs/>
          <w:sz w:val="28"/>
          <w:szCs w:val="28"/>
        </w:rPr>
        <w:t>二、十二月券商行业研究情况浏览</w:t>
      </w:r>
    </w:p>
    <w:p>
      <w:pPr>
        <w:ind w:firstLine="562" w:firstLineChars="200"/>
        <w:rPr>
          <w:rFonts w:ascii="仿宋" w:hAnsi="仿宋" w:eastAsia="仿宋" w:cs="仿宋"/>
          <w:b/>
          <w:bCs/>
          <w:color w:val="333333"/>
          <w:kern w:val="0"/>
          <w:sz w:val="28"/>
          <w:szCs w:val="28"/>
          <w:shd w:val="clear" w:color="auto" w:fill="FFFFFF"/>
        </w:rPr>
      </w:pPr>
      <w:r>
        <w:rPr>
          <w:rFonts w:hint="eastAsia" w:ascii="仿宋" w:hAnsi="仿宋" w:eastAsia="仿宋" w:cs="仿宋"/>
          <w:b/>
          <w:bCs/>
          <w:color w:val="333333"/>
          <w:sz w:val="28"/>
          <w:szCs w:val="28"/>
          <w:shd w:val="clear" w:color="auto" w:fill="FFFFFF"/>
        </w:rPr>
        <w:t>1</w:t>
      </w:r>
      <w:r>
        <w:rPr>
          <w:rFonts w:ascii="仿宋" w:hAnsi="仿宋" w:eastAsia="仿宋" w:cs="仿宋"/>
          <w:b/>
          <w:bCs/>
          <w:color w:val="333333"/>
          <w:sz w:val="28"/>
          <w:szCs w:val="28"/>
          <w:shd w:val="clear" w:color="auto" w:fill="FFFFFF"/>
        </w:rPr>
        <w:t>.</w:t>
      </w:r>
      <w:r>
        <w:rPr>
          <w:rFonts w:hint="eastAsia" w:ascii="仿宋" w:hAnsi="仿宋" w:eastAsia="仿宋" w:cs="仿宋"/>
          <w:b/>
          <w:bCs/>
          <w:color w:val="333333"/>
          <w:kern w:val="0"/>
          <w:sz w:val="28"/>
          <w:szCs w:val="28"/>
          <w:shd w:val="clear" w:color="auto" w:fill="FFFFFF"/>
        </w:rPr>
        <w:t>光伏设备行业：从政策看全球钙钛矿产业落地进展</w:t>
      </w:r>
    </w:p>
    <w:p>
      <w:pPr>
        <w:pStyle w:val="7"/>
        <w:spacing w:before="156" w:beforeLines="50" w:after="156" w:afterLines="50" w:line="360" w:lineRule="auto"/>
        <w:ind w:firstLine="560" w:firstLineChars="2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钙钛矿电池2023年产业大事件。（一）产能方面：2023年12月27日，协鑫光电在苏州举行全球首个吉瓦级大规格（2.4米1.2米）钙钛矿生产基地奠基仪式，进入吉瓦级商业运营新时代。此前，极电光能于2023年4月宣布吉瓦级产线开工，预计2024年底前搭建完成。我们预计2025年末、2030年末产能预计分别达到26.8GW、177GW，2023-2030复合增速超80%。（二）效率方面：商用尺寸钙钛矿组件全面积效率突破18%，相比CPIA预测的2023年效率达到16.5%,量产组件效率提升进度超预期。2023年11月协鑫光电1000mm×2000mm钙钛矿单结组件效率达18.04%，极电光能1.2×0.6m2商用尺寸钙钛矿组件全面积效率达18.2%。这标志着其实际发电量已经可以比肩传统晶硅组件，钙钛矿组件的商业化更近一步。叠层效率进展快，2023年11月3日，隆基绿能宣布晶硅钙钛矿叠层经NREL认证效率达33.9%，刷新世界纪录。2023年12月，协鑫光电宣布实现36.9cmx55.5cm钙钛矿叠层组件26.34%的转换效率。（三）新进入者增多：2023年行业巨头京东方、比亚迪、第一光伏、丰田汽车、中国核电等纷纷布局。</w:t>
      </w:r>
    </w:p>
    <w:p>
      <w:pPr>
        <w:pStyle w:val="7"/>
        <w:spacing w:before="156" w:beforeLines="50" w:after="156" w:afterLines="50" w:line="360" w:lineRule="auto"/>
        <w:ind w:firstLine="560" w:firstLineChars="20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政策引领钙钛矿产业健康发展。中国、美国、欧洲等各个国家和地区都推出了钙钛矿相关的宏观政策或资助计划，推动钙钛矿产业的发展。整体看来，中国以政策驱动为主，而美国、欧洲主要为研究项目提供资助计划，日韩为政策和资助计划相结合。其中，中国产业落地进展趋势良好，逐步取得领先地位。（一）中国：产业落地进展较快，领先进入吉瓦级时代，“政产学研用”协同推进，各种技术路线及市场主体参与钙钛矿电池技术的产业化进程，在国家引导政策出台后，各地政府落实制定具体配套激励政策。（二）美国：提供项目资助及创业扶持，推动钙钛矿电池从实验室走向市场；税收抵免政策促进产业发展。美国《2022年通货膨胀减少法案》对包括钙钛矿在内的薄膜光伏组件太阳能光伏材料的制造税收抵免。（三）欧洲：欧盟地平线计划资助多国钙钛矿研究项目，NREL统计钙钛矿/硅串联电池最高效率地区分布中，欧洲地区以9次位居各地区之首。（四）日韩：日本产业进展注重柔性钙钛矿电池布局，丰田汽车力争2030年搭载钙钛矿电池于纯电动汽车（EV）的车顶。韩国MOTIE路线图计划大力投资钙钛矿发展，韩国半导体和显示器行业可以通过提供硅产品和薄膜开发方面的专业知识，在这一转型中发挥作用。</w:t>
      </w:r>
    </w:p>
    <w:p>
      <w:pPr>
        <w:pStyle w:val="7"/>
        <w:spacing w:before="156" w:beforeLines="50" w:beforeAutospacing="0" w:after="156" w:afterLines="50" w:afterAutospacing="0" w:line="360" w:lineRule="auto"/>
        <w:ind w:firstLine="210" w:firstLineChars="100"/>
        <w:jc w:val="right"/>
        <w:rPr>
          <w:rFonts w:ascii="微软雅黑" w:hAnsi="微软雅黑" w:eastAsia="微软雅黑" w:cs="Calibri"/>
          <w:color w:val="A6A6A6" w:themeColor="background1" w:themeShade="A6"/>
          <w:sz w:val="21"/>
          <w:szCs w:val="21"/>
        </w:rPr>
      </w:pPr>
      <w:r>
        <w:rPr>
          <w:rFonts w:hint="eastAsia" w:ascii="微软雅黑" w:hAnsi="微软雅黑" w:eastAsia="微软雅黑" w:cs="Calibri"/>
          <w:color w:val="A6A6A6" w:themeColor="background1" w:themeShade="A6"/>
          <w:sz w:val="21"/>
          <w:szCs w:val="21"/>
        </w:rPr>
        <w:t>（内容来源：中国银河证券股份有限公司202</w:t>
      </w:r>
      <w:r>
        <w:rPr>
          <w:rFonts w:ascii="微软雅黑" w:hAnsi="微软雅黑" w:eastAsia="微软雅黑" w:cs="Calibri"/>
          <w:color w:val="A6A6A6" w:themeColor="background1" w:themeShade="A6"/>
          <w:sz w:val="21"/>
          <w:szCs w:val="21"/>
        </w:rPr>
        <w:t>3</w:t>
      </w:r>
      <w:r>
        <w:rPr>
          <w:rFonts w:hint="eastAsia" w:ascii="微软雅黑" w:hAnsi="微软雅黑" w:eastAsia="微软雅黑" w:cs="Calibri"/>
          <w:color w:val="A6A6A6" w:themeColor="background1" w:themeShade="A6"/>
          <w:sz w:val="21"/>
          <w:szCs w:val="21"/>
        </w:rPr>
        <w:t>-</w:t>
      </w:r>
      <w:r>
        <w:rPr>
          <w:rFonts w:ascii="微软雅黑" w:hAnsi="微软雅黑" w:eastAsia="微软雅黑"/>
          <w:color w:val="999999"/>
          <w:sz w:val="21"/>
          <w:szCs w:val="21"/>
          <w:shd w:val="clear" w:color="auto" w:fill="FFFFFF"/>
        </w:rPr>
        <w:t>1</w:t>
      </w:r>
      <w:r>
        <w:rPr>
          <w:rFonts w:hint="eastAsia" w:ascii="微软雅黑" w:hAnsi="微软雅黑" w:eastAsia="微软雅黑"/>
          <w:color w:val="999999"/>
          <w:sz w:val="21"/>
          <w:szCs w:val="21"/>
          <w:shd w:val="clear" w:color="auto" w:fill="FFFFFF"/>
        </w:rPr>
        <w:t>2-30</w:t>
      </w:r>
      <w:r>
        <w:rPr>
          <w:rFonts w:hint="eastAsia" w:ascii="微软雅黑" w:hAnsi="微软雅黑" w:eastAsia="微软雅黑" w:cs="Calibri"/>
          <w:color w:val="A6A6A6" w:themeColor="background1" w:themeShade="A6"/>
          <w:sz w:val="21"/>
          <w:szCs w:val="21"/>
        </w:rPr>
        <w:t>）</w:t>
      </w:r>
    </w:p>
    <w:p>
      <w:pPr>
        <w:ind w:firstLine="562" w:firstLineChars="200"/>
        <w:rPr>
          <w:rFonts w:ascii="仿宋" w:hAnsi="仿宋" w:eastAsia="仿宋" w:cs="仿宋"/>
          <w:color w:val="333333"/>
          <w:kern w:val="0"/>
          <w:sz w:val="28"/>
          <w:szCs w:val="28"/>
          <w:shd w:val="clear" w:color="auto" w:fill="FFFFFF"/>
        </w:rPr>
      </w:pPr>
      <w:r>
        <w:rPr>
          <w:rFonts w:hint="eastAsia" w:ascii="仿宋" w:hAnsi="仿宋" w:eastAsia="仿宋" w:cs="仿宋"/>
          <w:b/>
          <w:bCs/>
          <w:color w:val="333333"/>
          <w:sz w:val="28"/>
          <w:szCs w:val="28"/>
          <w:shd w:val="clear" w:color="auto" w:fill="FFFFFF"/>
        </w:rPr>
        <w:t>2.</w:t>
      </w:r>
      <w:r>
        <w:rPr>
          <w:rFonts w:hint="eastAsia" w:ascii="仿宋" w:hAnsi="仿宋" w:eastAsia="仿宋" w:cs="仿宋"/>
          <w:b/>
          <w:bCs/>
          <w:color w:val="333333"/>
          <w:kern w:val="0"/>
          <w:sz w:val="28"/>
          <w:szCs w:val="28"/>
          <w:shd w:val="clear" w:color="auto" w:fill="FFFFFF"/>
        </w:rPr>
        <w:t>交通运输行业：元旦第1天航班量数据表现向好，看好2024年春运出行需求超预期释放潜力</w:t>
      </w:r>
    </w:p>
    <w:p>
      <w:pPr>
        <w:ind w:firstLine="560" w:firstLineChars="200"/>
        <w:jc w:val="left"/>
        <w:rPr>
          <w:rFonts w:ascii="仿宋" w:hAnsi="仿宋" w:eastAsia="仿宋" w:cs="仿宋"/>
          <w:bCs/>
          <w:color w:val="333333"/>
          <w:kern w:val="0"/>
          <w:sz w:val="28"/>
          <w:szCs w:val="28"/>
          <w:shd w:val="clear" w:color="auto" w:fill="FFFFFF"/>
        </w:rPr>
      </w:pPr>
      <w:r>
        <w:rPr>
          <w:rFonts w:hint="eastAsia" w:ascii="仿宋" w:hAnsi="仿宋" w:eastAsia="仿宋" w:cs="仿宋"/>
          <w:bCs/>
          <w:color w:val="333333"/>
          <w:kern w:val="0"/>
          <w:sz w:val="28"/>
          <w:szCs w:val="28"/>
          <w:shd w:val="clear" w:color="auto" w:fill="FFFFFF"/>
        </w:rPr>
        <w:t>事件：根据民航局发布消息，2024年元旦假期期间（12月30日-1月1日，共3天），全民航总航班量预计达4.9万架次，同比增长+85.5%，恢复至2019年同期的102.7%。</w:t>
      </w:r>
    </w:p>
    <w:p>
      <w:pPr>
        <w:ind w:firstLine="560" w:firstLineChars="200"/>
        <w:jc w:val="left"/>
        <w:rPr>
          <w:rFonts w:ascii="仿宋" w:hAnsi="仿宋" w:eastAsia="仿宋" w:cs="仿宋"/>
          <w:bCs/>
          <w:color w:val="333333"/>
          <w:kern w:val="0"/>
          <w:sz w:val="28"/>
          <w:szCs w:val="28"/>
          <w:shd w:val="clear" w:color="auto" w:fill="FFFFFF"/>
        </w:rPr>
      </w:pPr>
      <w:r>
        <w:rPr>
          <w:rFonts w:hint="eastAsia" w:ascii="仿宋" w:hAnsi="仿宋" w:eastAsia="仿宋" w:cs="仿宋"/>
          <w:bCs/>
          <w:color w:val="333333"/>
          <w:kern w:val="0"/>
          <w:sz w:val="28"/>
          <w:szCs w:val="28"/>
          <w:shd w:val="clear" w:color="auto" w:fill="FFFFFF"/>
        </w:rPr>
        <w:t>元旦航班具体执行情况来看：根据航班管家平台数据，2024年元旦假期第1天（12月30日），全民航执行总航班量13386架次，其中国内航班量11717架次，国际及地区航班量1669架次。</w:t>
      </w:r>
    </w:p>
    <w:p>
      <w:pPr>
        <w:ind w:firstLine="560" w:firstLineChars="200"/>
        <w:jc w:val="left"/>
        <w:rPr>
          <w:rFonts w:ascii="仿宋" w:hAnsi="仿宋" w:eastAsia="仿宋" w:cs="仿宋"/>
          <w:bCs/>
          <w:color w:val="333333"/>
          <w:kern w:val="0"/>
          <w:sz w:val="28"/>
          <w:szCs w:val="28"/>
          <w:shd w:val="clear" w:color="auto" w:fill="FFFFFF"/>
        </w:rPr>
      </w:pPr>
      <w:r>
        <w:rPr>
          <w:rFonts w:hint="eastAsia" w:ascii="仿宋" w:hAnsi="仿宋" w:eastAsia="仿宋" w:cs="仿宋"/>
          <w:bCs/>
          <w:color w:val="333333"/>
          <w:kern w:val="0"/>
          <w:sz w:val="28"/>
          <w:szCs w:val="28"/>
          <w:shd w:val="clear" w:color="auto" w:fill="FFFFFF"/>
        </w:rPr>
        <w:t>国内：2024年元旦，作为疫后首个元旦假期，国内航班量同比增长显著。国内长线游需求呈现强劲恢复，成为元旦出行热门选择。根据航班管家平台数据，航班量来看，2024年元旦假期第1天（12月30日），我国国内航班量为11717架次，较去年（7276架次）同比+61.04%，作为不受疫情影响的第一个元旦假期，国内航班量同比增长显著。主要目的地来看，2024年元旦第1天，国内往返航班量Top10航线为：上海-深圳（114架次）、上海-广州（106架次）、北京-成都（95架次）、北京-深圳（93架次）、上海-成都（89架次）、上海-北京（88架次）、北京-广州（69架次）、上海-重庆（65架次）、成都深圳（64架次）、广州-杭州（63架次）。由此可见，一线互飞航线仍承载最旺需求，出行消费能力更高。</w:t>
      </w:r>
    </w:p>
    <w:p>
      <w:pPr>
        <w:ind w:firstLine="560" w:firstLineChars="200"/>
        <w:jc w:val="left"/>
        <w:rPr>
          <w:rFonts w:ascii="仿宋" w:hAnsi="仿宋" w:eastAsia="仿宋" w:cs="仿宋"/>
          <w:bCs/>
          <w:color w:val="333333"/>
          <w:kern w:val="0"/>
          <w:sz w:val="28"/>
          <w:szCs w:val="28"/>
          <w:shd w:val="clear" w:color="auto" w:fill="FFFFFF"/>
        </w:rPr>
      </w:pPr>
      <w:r>
        <w:rPr>
          <w:rFonts w:hint="eastAsia" w:ascii="仿宋" w:hAnsi="仿宋" w:eastAsia="仿宋" w:cs="仿宋"/>
          <w:bCs/>
          <w:color w:val="333333"/>
          <w:kern w:val="0"/>
          <w:sz w:val="28"/>
          <w:szCs w:val="28"/>
          <w:shd w:val="clear" w:color="auto" w:fill="FFFFFF"/>
        </w:rPr>
        <w:t>根据途牛《2024元旦旅游消费预测》，2024年元旦假期，国内短线游、国内长线游人次分别占比达29%、54%，国内长线游成为旅客的热门选择，可见疫后旅客出行需求较前进一步呈现修复。</w:t>
      </w:r>
    </w:p>
    <w:p>
      <w:pPr>
        <w:ind w:firstLine="560" w:firstLineChars="200"/>
        <w:jc w:val="left"/>
        <w:rPr>
          <w:rFonts w:ascii="仿宋" w:hAnsi="仿宋" w:eastAsia="仿宋" w:cs="仿宋"/>
          <w:bCs/>
          <w:color w:val="333333"/>
          <w:kern w:val="0"/>
          <w:sz w:val="28"/>
          <w:szCs w:val="28"/>
          <w:shd w:val="clear" w:color="auto" w:fill="FFFFFF"/>
        </w:rPr>
      </w:pPr>
      <w:r>
        <w:rPr>
          <w:rFonts w:hint="eastAsia" w:ascii="仿宋" w:hAnsi="仿宋" w:eastAsia="仿宋" w:cs="仿宋"/>
          <w:bCs/>
          <w:color w:val="333333"/>
          <w:kern w:val="0"/>
          <w:sz w:val="28"/>
          <w:szCs w:val="28"/>
          <w:shd w:val="clear" w:color="auto" w:fill="FFFFFF"/>
        </w:rPr>
        <w:t>国际：2024年元旦第1天，国际航班量约恢复至疫情前同期的60%。东南亚、日韩仍为最热出境目的地，航班量份额占比分别达40%、35%。根据航班管家数据，航班量来看，2024年元旦假期第1天（12月30日），我国国际航班量为1350架次，较去年（149架次）同比增逾8倍，恢复至2019年（2271架次）的59.45%；地区航班量为319架次，较去年（84架次）同比增近4倍，恢复至2019年（417架次）的76.5%；由此可见，国际航线出行进一步有所恢复。主要出港目的地来看，东南亚、日韩、欧洲、北美的出港航班量份额占比分别为40%、35%、10%、2%；由此可见，东南亚及日韩继续呈现最大出游热度，考虑到元旦假期为1月初，恰逢北半球冬季，日本滑雪旺季、东南亚热带游旺季开启，叠加11月底我国与新加坡、马来西亚实行互免签证优惠政策，对旅客出行需求带来强劲催化拉动。</w:t>
      </w:r>
    </w:p>
    <w:p>
      <w:pPr>
        <w:ind w:firstLine="560" w:firstLineChars="200"/>
        <w:jc w:val="left"/>
        <w:rPr>
          <w:rFonts w:ascii="仿宋" w:hAnsi="仿宋" w:eastAsia="仿宋" w:cs="仿宋"/>
          <w:bCs/>
          <w:color w:val="333333"/>
          <w:kern w:val="0"/>
          <w:sz w:val="28"/>
          <w:szCs w:val="28"/>
          <w:shd w:val="clear" w:color="auto" w:fill="FFFFFF"/>
        </w:rPr>
      </w:pPr>
      <w:r>
        <w:rPr>
          <w:rFonts w:hint="eastAsia" w:ascii="仿宋" w:hAnsi="仿宋" w:eastAsia="仿宋" w:cs="仿宋"/>
          <w:bCs/>
          <w:color w:val="333333"/>
          <w:kern w:val="0"/>
          <w:sz w:val="28"/>
          <w:szCs w:val="28"/>
          <w:shd w:val="clear" w:color="auto" w:fill="FFFFFF"/>
        </w:rPr>
        <w:t>展望2024年，春运前出行回补叠加9天“超长”春节假期催化，年初春运旺季需求有望超预期释放。展望2024年初，一方面，2024年春节除夕为2月9日，春运预计于1月26日开始，时间相对较晚，因此假期启动前，公商务出差拜访、展会召开需求有望呈现一波强劲回补释放；另一方面，2月共计9天的“超长”春节假期，同时作为不受疫情影响的首个春运旺季，考虑到疫情3年及2023年春运（仍受疫情影响）很大一部分客群未返乡过年，2024年春运有望释放大量返乡探亲的增量出行需求。我们预计，2024年初春运旺季需求有望超出预期。</w:t>
      </w:r>
    </w:p>
    <w:p>
      <w:pPr>
        <w:pStyle w:val="7"/>
        <w:spacing w:before="156" w:beforeLines="50" w:beforeAutospacing="0" w:after="156" w:afterLines="50" w:afterAutospacing="0" w:line="360" w:lineRule="auto"/>
        <w:ind w:firstLine="561"/>
        <w:jc w:val="right"/>
        <w:rPr>
          <w:rFonts w:ascii="仿宋" w:hAnsi="仿宋" w:eastAsia="仿宋" w:cs="仿宋"/>
          <w:b/>
          <w:sz w:val="28"/>
          <w:szCs w:val="28"/>
        </w:rPr>
      </w:pPr>
      <w:r>
        <w:rPr>
          <w:rFonts w:hint="eastAsia" w:ascii="微软雅黑" w:hAnsi="微软雅黑" w:eastAsia="微软雅黑" w:cs="Calibri"/>
          <w:color w:val="A6A6A6" w:themeColor="background1" w:themeShade="A6"/>
          <w:sz w:val="21"/>
          <w:szCs w:val="21"/>
        </w:rPr>
        <w:t>（内容来源：中国银河证券股份有限公司202</w:t>
      </w:r>
      <w:r>
        <w:rPr>
          <w:rFonts w:ascii="微软雅黑" w:hAnsi="微软雅黑" w:eastAsia="微软雅黑" w:cs="Calibri"/>
          <w:color w:val="A6A6A6" w:themeColor="background1" w:themeShade="A6"/>
          <w:sz w:val="21"/>
          <w:szCs w:val="21"/>
        </w:rPr>
        <w:t>3</w:t>
      </w:r>
      <w:r>
        <w:rPr>
          <w:rFonts w:hint="eastAsia" w:ascii="微软雅黑" w:hAnsi="微软雅黑" w:eastAsia="微软雅黑" w:cs="Calibri"/>
          <w:color w:val="A6A6A6" w:themeColor="background1" w:themeShade="A6"/>
          <w:sz w:val="21"/>
          <w:szCs w:val="21"/>
        </w:rPr>
        <w:t>-</w:t>
      </w:r>
      <w:r>
        <w:rPr>
          <w:rFonts w:ascii="微软雅黑" w:hAnsi="微软雅黑" w:eastAsia="微软雅黑" w:cs="Calibri"/>
          <w:color w:val="A6A6A6" w:themeColor="background1" w:themeShade="A6"/>
          <w:sz w:val="21"/>
          <w:szCs w:val="21"/>
        </w:rPr>
        <w:t>1</w:t>
      </w:r>
      <w:r>
        <w:rPr>
          <w:rFonts w:hint="eastAsia" w:ascii="微软雅黑" w:hAnsi="微软雅黑" w:eastAsia="微软雅黑" w:cs="Calibri"/>
          <w:color w:val="A6A6A6" w:themeColor="background1" w:themeShade="A6"/>
          <w:sz w:val="21"/>
          <w:szCs w:val="21"/>
        </w:rPr>
        <w:t>2-31）</w:t>
      </w:r>
    </w:p>
    <w:p>
      <w:pPr>
        <w:ind w:firstLine="562" w:firstLineChars="200"/>
        <w:rPr>
          <w:rFonts w:ascii="仿宋" w:hAnsi="仿宋" w:eastAsia="仿宋" w:cs="仿宋"/>
          <w:b/>
          <w:bCs/>
          <w:color w:val="333333"/>
          <w:kern w:val="0"/>
          <w:sz w:val="28"/>
          <w:szCs w:val="28"/>
          <w:shd w:val="clear" w:color="auto" w:fill="FFFFFF"/>
        </w:rPr>
      </w:pPr>
      <w:r>
        <w:rPr>
          <w:rFonts w:hint="eastAsia" w:ascii="仿宋" w:hAnsi="仿宋" w:eastAsia="仿宋" w:cs="仿宋"/>
          <w:b/>
          <w:bCs/>
          <w:color w:val="333333"/>
          <w:kern w:val="0"/>
          <w:sz w:val="28"/>
          <w:szCs w:val="28"/>
          <w:shd w:val="clear" w:color="auto" w:fill="FFFFFF"/>
        </w:rPr>
        <w:t>3.汽车行业：车身域控空间广阔，国产替代正当时</w:t>
      </w:r>
    </w:p>
    <w:p>
      <w:pPr>
        <w:ind w:firstLine="560" w:firstLineChars="200"/>
        <w:jc w:val="left"/>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汽车电子电气架构升级，车身域大有可为，国产企业有望突围</w:t>
      </w:r>
    </w:p>
    <w:p>
      <w:pPr>
        <w:ind w:firstLine="560" w:firstLineChars="200"/>
        <w:jc w:val="left"/>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在电动化和智能化大背景下，汽车电子重要性不断提升，汽车电子电气架构正在由分布式向集中式升级，而车身域也在不断升级迭代，功能集成愈加丰富。车身域控市场空间非常广阔，我们预测中国2025年车身域控和区域控制器市场规模为302.97亿元，23-25年CAGR101%。汽车电子电气架构升级叠加自主品牌崛起提供国产替代机遇，一批优秀的国产企业正打磨自身硬实力，提升市场份额，如科博达、经纬恒润、德赛西威、纳恩股份、和而泰、欧菲光、芜湖埃泰克等。推荐科博达（603786CH），底盘/智驾/车身/中央域的布局完善；德赛西威（002920CH），智能驾驶和智能座舱双轮驱动&amp;产品出海谋新增长的汽车电子头部企业，投资评级均买入，目标价分别为81.35元和184.99元。</w:t>
      </w:r>
    </w:p>
    <w:p>
      <w:pPr>
        <w:ind w:firstLine="560" w:firstLineChars="200"/>
        <w:jc w:val="left"/>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车身域功能集成愈加丰富，难点在于硬件平台化与拓展性和软件协调开发</w:t>
      </w:r>
    </w:p>
    <w:p>
      <w:pPr>
        <w:ind w:firstLine="560" w:firstLineChars="200"/>
        <w:jc w:val="left"/>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与汽车电子电气架构升级相一致，车身域发展亦可以划分为三个阶段，功能集成愈加丰富：1.0为传统车身控制器BCM或车身控制器BCM与PEPS（无钥匙进入/启动控制器）各自独立的分布式架构，2.0为在BCM基础上集成PEPS、TPMS或智能配电盒、网关等其他功能的车身域控制器，3.0为中央集中式架构下的区域控制器。国内主机厂布局3.0区域控制器ZCU的开发，进度差异较大，其中小鹏进度较快。从硬件角度，车身域硬件种类较少，功能集成度提升推动硬件平台化和拓展性升级。从软件角度，车身控制器的软件设计难点在于如何协调不同功能的组织间合作、资源分配、安全性提升和测试理念的更新。</w:t>
      </w:r>
    </w:p>
    <w:p>
      <w:pPr>
        <w:ind w:firstLine="560" w:firstLineChars="200"/>
        <w:jc w:val="left"/>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车身域控市场空间广阔，国产企业打磨自身实力以期实现突围</w:t>
      </w:r>
    </w:p>
    <w:p>
      <w:pPr>
        <w:ind w:firstLine="560" w:firstLineChars="200"/>
        <w:jc w:val="left"/>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车身域电子系统领域尚处于成长初期，技术积累和广泛产品线布局使国际Tier1具有先发优势。根据高工智能汽车，2022年中国市场乘用车BCM前装市场集中度高，且大多被外资或合资企业占据，其中份额最大的大陆集团占据30.89%份额。我们预测中国2025年车身域控和区域控制器市场规模为302.97亿元，23-25年CAGR101%。而在电子电气架构升级的大背景下，国内供应商技术水平不断提升，自主品牌崛起提供国产替代机遇。我们认为新一代车身域Tier1需要具备以下关键能力：（1）定制化服务能力；（2）多域融合能力；（3）大规模量产能力；（4）商业化能力；（5）软硬结合能力。</w:t>
      </w:r>
    </w:p>
    <w:p>
      <w:pPr>
        <w:ind w:firstLine="560" w:firstLineChars="200"/>
        <w:jc w:val="left"/>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科博达、经纬恒润、德赛西威、纳恩股份等国内企业正在车身域崭露头角</w:t>
      </w:r>
    </w:p>
    <w:p>
      <w:pPr>
        <w:ind w:firstLine="560" w:firstLineChars="200"/>
        <w:jc w:val="left"/>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长期以来车身控制器（BCM）的关键技术主要由国际企业主导。在汽车电子电气架构升级的大背景下，车身域领域的国产厂商正在弯道超车，提升自身硬实力，抢占市场份额，相关公司包括：科博达、经纬恒润、德赛西威、纳恩股份、和而泰、欧菲光、芜湖埃泰克、联合汽车电子、铁将军等。其中科博达车身域控/底盘控制器配套理想、比亚迪贡献新增量，预计使车身域控营收增速较快；经纬恒润是国内车身域研发先行者，最新的车身域控产品是中央计算平台产品以及物理区域控制单元；德赛西威23年1月量产车身域控，可适配主机厂不同需求；纳恩股份实现了较完整的泛车身域产品覆盖，深度绑定国内高质量客户群体，并积极开发国际客户。</w:t>
      </w:r>
    </w:p>
    <w:p>
      <w:pPr>
        <w:pStyle w:val="7"/>
        <w:spacing w:before="156" w:beforeLines="50" w:beforeAutospacing="0" w:after="156" w:afterLines="50" w:afterAutospacing="0" w:line="360" w:lineRule="auto"/>
        <w:ind w:firstLine="561"/>
        <w:jc w:val="right"/>
        <w:rPr>
          <w:rFonts w:ascii="微软雅黑" w:hAnsi="微软雅黑" w:eastAsia="微软雅黑" w:cs="Calibri"/>
          <w:color w:val="A6A6A6" w:themeColor="background1" w:themeShade="A6"/>
          <w:sz w:val="21"/>
          <w:szCs w:val="21"/>
        </w:rPr>
      </w:pPr>
      <w:r>
        <w:rPr>
          <w:rFonts w:hint="eastAsia" w:ascii="微软雅黑" w:hAnsi="微软雅黑" w:eastAsia="微软雅黑" w:cs="Calibri"/>
          <w:color w:val="A6A6A6" w:themeColor="background1" w:themeShade="A6"/>
          <w:sz w:val="21"/>
          <w:szCs w:val="21"/>
        </w:rPr>
        <w:t>（内容来源：华泰证券股份有限公司202</w:t>
      </w:r>
      <w:r>
        <w:rPr>
          <w:rFonts w:ascii="微软雅黑" w:hAnsi="微软雅黑" w:eastAsia="微软雅黑" w:cs="Calibri"/>
          <w:color w:val="A6A6A6" w:themeColor="background1" w:themeShade="A6"/>
          <w:sz w:val="21"/>
          <w:szCs w:val="21"/>
        </w:rPr>
        <w:t>3</w:t>
      </w:r>
      <w:r>
        <w:rPr>
          <w:rFonts w:hint="eastAsia" w:ascii="微软雅黑" w:hAnsi="微软雅黑" w:eastAsia="微软雅黑" w:cs="Calibri"/>
          <w:color w:val="A6A6A6" w:themeColor="background1" w:themeShade="A6"/>
          <w:sz w:val="21"/>
          <w:szCs w:val="21"/>
        </w:rPr>
        <w:t>-</w:t>
      </w:r>
      <w:r>
        <w:rPr>
          <w:rFonts w:ascii="微软雅黑" w:hAnsi="微软雅黑" w:eastAsia="微软雅黑" w:cs="Calibri"/>
          <w:color w:val="A6A6A6" w:themeColor="background1" w:themeShade="A6"/>
          <w:sz w:val="21"/>
          <w:szCs w:val="21"/>
        </w:rPr>
        <w:t>1</w:t>
      </w:r>
      <w:r>
        <w:rPr>
          <w:rFonts w:hint="eastAsia" w:ascii="微软雅黑" w:hAnsi="微软雅黑" w:eastAsia="微软雅黑" w:cs="Calibri"/>
          <w:color w:val="A6A6A6" w:themeColor="background1" w:themeShade="A6"/>
          <w:sz w:val="21"/>
          <w:szCs w:val="21"/>
        </w:rPr>
        <w:t>2-</w:t>
      </w:r>
      <w:r>
        <w:rPr>
          <w:rFonts w:ascii="微软雅黑" w:hAnsi="微软雅黑" w:eastAsia="微软雅黑" w:cs="Calibri"/>
          <w:color w:val="A6A6A6" w:themeColor="background1" w:themeShade="A6"/>
          <w:sz w:val="21"/>
          <w:szCs w:val="21"/>
        </w:rPr>
        <w:t>2</w:t>
      </w:r>
      <w:r>
        <w:rPr>
          <w:rFonts w:hint="eastAsia" w:ascii="微软雅黑" w:hAnsi="微软雅黑" w:eastAsia="微软雅黑" w:cs="Calibri"/>
          <w:color w:val="A6A6A6" w:themeColor="background1" w:themeShade="A6"/>
          <w:sz w:val="21"/>
          <w:szCs w:val="21"/>
        </w:rPr>
        <w:t>9）</w:t>
      </w:r>
    </w:p>
    <w:p>
      <w:pPr>
        <w:spacing w:before="156" w:beforeLines="50" w:after="156" w:afterLines="50"/>
        <w:rPr>
          <w:rFonts w:ascii="仿宋" w:hAnsi="仿宋" w:eastAsia="仿宋"/>
          <w:b/>
          <w:sz w:val="28"/>
        </w:rPr>
      </w:pPr>
      <w:r>
        <w:rPr>
          <w:rFonts w:ascii="仿宋" w:hAnsi="仿宋" w:eastAsia="仿宋"/>
          <w:b/>
          <w:sz w:val="28"/>
        </w:rPr>
        <w:t>三</w:t>
      </w:r>
      <w:r>
        <w:rPr>
          <w:rFonts w:hint="eastAsia" w:ascii="仿宋" w:hAnsi="仿宋" w:eastAsia="仿宋"/>
          <w:b/>
          <w:sz w:val="28"/>
        </w:rPr>
        <w:t>、河南辖区上市公司基本情况</w:t>
      </w:r>
    </w:p>
    <w:p>
      <w:pPr>
        <w:spacing w:line="360" w:lineRule="auto"/>
        <w:ind w:firstLine="560" w:firstLineChars="200"/>
        <w:rPr>
          <w:rFonts w:ascii="仿宋" w:hAnsi="仿宋" w:eastAsia="仿宋"/>
          <w:sz w:val="28"/>
        </w:rPr>
      </w:pPr>
      <w:r>
        <w:rPr>
          <w:rFonts w:hint="eastAsia" w:ascii="仿宋" w:hAnsi="仿宋" w:eastAsia="仿宋"/>
          <w:sz w:val="28"/>
        </w:rPr>
        <w:t>截至2023年12月31日,河南辖区共有A股上市公司110家。位居全国第12位（按照协会口径统计）。其中上交所主板29家，科创板5家，深交所主板36家、创业板28家，北交所12家。</w:t>
      </w:r>
    </w:p>
    <w:p>
      <w:pPr>
        <w:spacing w:line="360" w:lineRule="auto"/>
        <w:ind w:firstLine="560" w:firstLineChars="200"/>
        <w:rPr>
          <w:rFonts w:ascii="仿宋" w:hAnsi="仿宋" w:eastAsia="仿宋"/>
          <w:sz w:val="28"/>
        </w:rPr>
      </w:pPr>
      <w:r>
        <w:rPr>
          <w:rFonts w:hint="eastAsia" w:ascii="仿宋" w:hAnsi="仿宋" w:eastAsia="仿宋"/>
          <w:sz w:val="28"/>
        </w:rPr>
        <w:t>截至2023年12月31日,河南辖区A股上市公司的总市值为13,756.68亿元，占A股上市公司总市值的1.57%。2023年河南辖区上市公司再融资（含增发、配股）募集资金总额为6</w:t>
      </w:r>
      <w:r>
        <w:rPr>
          <w:rFonts w:ascii="仿宋" w:hAnsi="仿宋" w:eastAsia="仿宋"/>
          <w:sz w:val="28"/>
        </w:rPr>
        <w:t>3</w:t>
      </w:r>
      <w:r>
        <w:rPr>
          <w:rFonts w:hint="eastAsia" w:ascii="仿宋" w:hAnsi="仿宋" w:eastAsia="仿宋"/>
          <w:sz w:val="28"/>
        </w:rPr>
        <w:t>.0</w:t>
      </w:r>
      <w:r>
        <w:rPr>
          <w:rFonts w:ascii="仿宋" w:hAnsi="仿宋" w:eastAsia="仿宋"/>
          <w:sz w:val="28"/>
        </w:rPr>
        <w:t>7</w:t>
      </w:r>
      <w:r>
        <w:rPr>
          <w:rFonts w:hint="eastAsia" w:ascii="仿宋" w:hAnsi="仿宋" w:eastAsia="仿宋"/>
          <w:sz w:val="28"/>
        </w:rPr>
        <w:t>亿元。</w:t>
      </w:r>
    </w:p>
    <w:p>
      <w:pPr>
        <w:spacing w:before="156" w:beforeLines="50" w:after="156" w:afterLines="50" w:line="360" w:lineRule="auto"/>
        <w:jc w:val="center"/>
        <w:rPr>
          <w:rFonts w:ascii="仿宋" w:hAnsi="仿宋" w:eastAsia="仿宋"/>
          <w:b/>
          <w:sz w:val="24"/>
        </w:rPr>
      </w:pPr>
      <w:r>
        <w:rPr>
          <w:rFonts w:hint="eastAsia" w:ascii="仿宋" w:hAnsi="仿宋" w:eastAsia="仿宋"/>
          <w:b/>
          <w:sz w:val="24"/>
        </w:rPr>
        <w:t>图1　上市公司市值排名行业分布图</w:t>
      </w:r>
      <w:r>
        <w:rPr>
          <w:rFonts w:ascii="仿宋" w:hAnsi="仿宋" w:eastAsia="仿宋"/>
          <w:b/>
          <w:sz w:val="24"/>
        </w:rPr>
        <w:drawing>
          <wp:inline distT="0" distB="0" distL="0" distR="0">
            <wp:extent cx="5086350" cy="2743200"/>
            <wp:effectExtent l="4445" t="4445" r="14605" b="14605"/>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spacing w:before="156" w:beforeLines="50" w:after="156" w:afterLines="50" w:line="360" w:lineRule="auto"/>
        <w:jc w:val="center"/>
        <w:rPr>
          <w:rFonts w:ascii="仿宋" w:hAnsi="仿宋" w:eastAsia="仿宋"/>
          <w:b/>
          <w:sz w:val="24"/>
        </w:rPr>
      </w:pPr>
      <w:r>
        <w:rPr>
          <w:rFonts w:hint="eastAsia" w:ascii="仿宋" w:hAnsi="仿宋" w:eastAsia="仿宋"/>
          <w:b/>
          <w:sz w:val="24"/>
        </w:rPr>
        <w:t>图2市值排名前十的</w:t>
      </w:r>
      <w:r>
        <w:rPr>
          <w:rFonts w:ascii="仿宋" w:hAnsi="仿宋" w:eastAsia="仿宋"/>
          <w:b/>
          <w:sz w:val="24"/>
        </w:rPr>
        <w:t>上市公司</w:t>
      </w:r>
      <w:r>
        <w:rPr>
          <w:rFonts w:ascii="仿宋" w:hAnsi="仿宋" w:eastAsia="仿宋"/>
          <w:b/>
          <w:sz w:val="24"/>
        </w:rPr>
        <w:drawing>
          <wp:inline distT="0" distB="0" distL="0" distR="0">
            <wp:extent cx="5086350" cy="2743200"/>
            <wp:effectExtent l="4445" t="4445" r="14605" b="1460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before="156" w:beforeLines="50" w:after="156" w:afterLines="50" w:line="360" w:lineRule="auto"/>
        <w:jc w:val="center"/>
        <w:rPr>
          <w:rFonts w:ascii="仿宋" w:hAnsi="仿宋" w:eastAsia="仿宋"/>
          <w:b/>
          <w:sz w:val="24"/>
        </w:rPr>
      </w:pPr>
    </w:p>
    <w:p>
      <w:pPr>
        <w:spacing w:before="156" w:beforeLines="50" w:after="156" w:afterLines="50" w:line="360" w:lineRule="auto"/>
        <w:jc w:val="center"/>
        <w:rPr>
          <w:rFonts w:ascii="仿宋" w:hAnsi="仿宋" w:eastAsia="仿宋"/>
          <w:b/>
          <w:sz w:val="24"/>
        </w:rPr>
      </w:pPr>
      <w:r>
        <w:rPr>
          <w:rFonts w:ascii="仿宋" w:hAnsi="仿宋" w:eastAsia="仿宋"/>
          <w:b/>
          <w:sz w:val="24"/>
        </w:rPr>
        <w:t>图3月成交额排名前十的上市公司</w:t>
      </w:r>
      <w:r>
        <w:rPr>
          <w:rFonts w:ascii="仿宋" w:hAnsi="仿宋" w:eastAsia="仿宋"/>
          <w:b/>
          <w:sz w:val="24"/>
        </w:rPr>
        <w:drawing>
          <wp:inline distT="0" distB="0" distL="0" distR="0">
            <wp:extent cx="5086350" cy="2571750"/>
            <wp:effectExtent l="4445" t="4445" r="14605" b="14605"/>
            <wp:docPr id="7"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before="156" w:beforeLines="50" w:after="156" w:afterLines="50"/>
        <w:rPr>
          <w:rFonts w:ascii="仿宋" w:hAnsi="仿宋" w:eastAsia="仿宋"/>
          <w:b/>
          <w:sz w:val="28"/>
        </w:rPr>
      </w:pPr>
      <w:r>
        <w:rPr>
          <w:rFonts w:hint="eastAsia" w:ascii="仿宋" w:hAnsi="仿宋" w:eastAsia="仿宋"/>
          <w:b/>
          <w:sz w:val="28"/>
        </w:rPr>
        <w:t>四、河南辖区上市公司12月市场表现分析</w:t>
      </w:r>
    </w:p>
    <w:p>
      <w:pPr>
        <w:ind w:firstLine="560" w:firstLineChars="200"/>
        <w:rPr>
          <w:rFonts w:ascii="仿宋" w:hAnsi="仿宋" w:eastAsia="仿宋"/>
          <w:color w:val="000000" w:themeColor="text1"/>
          <w:sz w:val="28"/>
          <w14:textFill>
            <w14:solidFill>
              <w14:schemeClr w14:val="tx1"/>
            </w14:solidFill>
          </w14:textFill>
        </w:rPr>
      </w:pPr>
      <w:r>
        <w:rPr>
          <w:rFonts w:hint="eastAsia" w:ascii="仿宋" w:hAnsi="仿宋" w:eastAsia="仿宋" w:cs="仿宋"/>
          <w:sz w:val="28"/>
          <w:szCs w:val="28"/>
        </w:rPr>
        <w:t>12月首个交易日，大盘全天震荡分化，三大指数涨跌不一。游戏传媒、拼多多概念、泛AI、数据要素等方向涨幅居前，汽车产业链、次新、养殖业等板块跌幅居前。12月8日，三大股指放量反弹，科创50指数大涨超2%，AI产业链持续走强，CPO、多模态、算力等细分均涨幅居前，并与指数形成了一定程度的共振，不过市场分化依旧明显，两市仍有近3700只个股收跌，高位股延续退潮，连板高度更是骤降至3板。12月19日，三大股指尾盘V型反转，终结日线四连阴。消费电子概念股集体走强，MR方向领涨，短剧概念股展开反弹，旅游酒店震荡股走强，PEEK概念股持续活跃。12月29日，2023年最后一个交易日，三大指数全线走高，三大指数均红盘收官。两市超4100家个股上涨，截至收盘，沪指涨0.68%，深成指涨0.89%，创业板指涨0.63%。</w:t>
      </w:r>
      <w:r>
        <w:rPr>
          <w:rFonts w:hint="eastAsia" w:ascii="仿宋" w:hAnsi="仿宋" w:eastAsia="仿宋"/>
          <w:color w:val="000000" w:themeColor="text1"/>
          <w:sz w:val="28"/>
          <w14:textFill>
            <w14:solidFill>
              <w14:schemeClr w14:val="tx1"/>
            </w14:solidFill>
          </w14:textFill>
        </w:rPr>
        <w:t>及至月末，上证综指下跌1.81%，报收2,974.93点；深证成指下跌2.08%，报收9,524.69点；创业板指下跌1.62%，报收1,891.37点。</w:t>
      </w:r>
    </w:p>
    <w:p>
      <w:pPr>
        <w:spacing w:after="156" w:afterLines="50"/>
        <w:ind w:firstLine="560" w:firstLineChars="200"/>
        <w:rPr>
          <w:rFonts w:ascii="仿宋" w:hAnsi="仿宋" w:eastAsia="仿宋"/>
          <w:b/>
          <w:sz w:val="24"/>
        </w:rPr>
      </w:pPr>
      <w:r>
        <w:rPr>
          <w:rFonts w:hint="eastAsia" w:ascii="仿宋" w:hAnsi="仿宋" w:eastAsia="仿宋"/>
          <w:sz w:val="28"/>
        </w:rPr>
        <w:t>2023年12月，河南辖区涨幅排名前10位的股票中，材料占据4席，信息技术占据3席，工业占据2席，日常消费占据1席，涨幅最大的是花溪科技，上涨63.66%；其次是众诚科技，上涨58.66%。</w:t>
      </w:r>
    </w:p>
    <w:p>
      <w:pPr>
        <w:spacing w:after="156" w:afterLines="50"/>
        <w:jc w:val="center"/>
        <w:rPr>
          <w:rFonts w:ascii="仿宋" w:hAnsi="仿宋" w:eastAsia="仿宋"/>
          <w:b/>
          <w:sz w:val="24"/>
        </w:rPr>
      </w:pPr>
      <w:r>
        <w:rPr>
          <w:rFonts w:hint="eastAsia" w:ascii="仿宋" w:hAnsi="仿宋" w:eastAsia="仿宋"/>
          <w:b/>
          <w:sz w:val="24"/>
        </w:rPr>
        <w:t>表1月涨幅前10的股票</w:t>
      </w:r>
    </w:p>
    <w:tbl>
      <w:tblPr>
        <w:tblStyle w:val="9"/>
        <w:tblW w:w="10201" w:type="dxa"/>
        <w:jc w:val="center"/>
        <w:tblLayout w:type="fixed"/>
        <w:tblCellMar>
          <w:top w:w="0" w:type="dxa"/>
          <w:left w:w="108" w:type="dxa"/>
          <w:bottom w:w="0" w:type="dxa"/>
          <w:right w:w="108" w:type="dxa"/>
        </w:tblCellMar>
      </w:tblPr>
      <w:tblGrid>
        <w:gridCol w:w="705"/>
        <w:gridCol w:w="1276"/>
        <w:gridCol w:w="1133"/>
        <w:gridCol w:w="1556"/>
        <w:gridCol w:w="1714"/>
        <w:gridCol w:w="1767"/>
        <w:gridCol w:w="2050"/>
      </w:tblGrid>
      <w:tr>
        <w:tblPrEx>
          <w:tblCellMar>
            <w:top w:w="0" w:type="dxa"/>
            <w:left w:w="108" w:type="dxa"/>
            <w:bottom w:w="0" w:type="dxa"/>
            <w:right w:w="108" w:type="dxa"/>
          </w:tblCellMar>
        </w:tblPrEx>
        <w:trPr>
          <w:trHeight w:val="270"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b/>
                <w:color w:val="000000"/>
                <w:szCs w:val="21"/>
              </w:rPr>
            </w:pPr>
            <w:r>
              <w:rPr>
                <w:rFonts w:hint="eastAsia" w:ascii="仿宋" w:hAnsi="仿宋" w:eastAsia="仿宋"/>
                <w:b/>
                <w:color w:val="000000"/>
                <w:szCs w:val="21"/>
              </w:rPr>
              <w:t>序号</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证券代码</w:t>
            </w:r>
          </w:p>
        </w:tc>
        <w:tc>
          <w:tcPr>
            <w:tcW w:w="11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证券简称</w:t>
            </w:r>
          </w:p>
        </w:tc>
        <w:tc>
          <w:tcPr>
            <w:tcW w:w="155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b/>
                <w:color w:val="000000"/>
                <w:szCs w:val="21"/>
              </w:rPr>
            </w:pPr>
            <w:r>
              <w:rPr>
                <w:rFonts w:hint="eastAsia" w:ascii="仿宋" w:hAnsi="仿宋" w:eastAsia="仿宋"/>
                <w:b/>
                <w:color w:val="000000"/>
                <w:szCs w:val="21"/>
              </w:rPr>
              <w:t>月涨幅（</w:t>
            </w:r>
            <w:r>
              <w:rPr>
                <w:rFonts w:ascii="仿宋" w:hAnsi="仿宋" w:eastAsia="仿宋"/>
                <w:b/>
                <w:color w:val="000000"/>
                <w:szCs w:val="21"/>
              </w:rPr>
              <w:t>%</w:t>
            </w:r>
            <w:r>
              <w:rPr>
                <w:rFonts w:hint="eastAsia" w:ascii="仿宋" w:hAnsi="仿宋" w:eastAsia="仿宋"/>
                <w:b/>
                <w:color w:val="000000"/>
                <w:szCs w:val="21"/>
              </w:rPr>
              <w:t>）</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收盘价</w:t>
            </w:r>
          </w:p>
          <w:p>
            <w:pPr>
              <w:widowControl/>
              <w:jc w:val="center"/>
              <w:rPr>
                <w:rFonts w:ascii="仿宋" w:hAnsi="仿宋" w:eastAsia="仿宋"/>
                <w:b/>
                <w:color w:val="000000"/>
                <w:szCs w:val="21"/>
              </w:rPr>
            </w:pPr>
            <w:r>
              <w:rPr>
                <w:rFonts w:ascii="仿宋" w:hAnsi="仿宋" w:eastAsia="仿宋"/>
                <w:b/>
                <w:color w:val="000000"/>
                <w:szCs w:val="21"/>
              </w:rPr>
              <w:t>（2023-1</w:t>
            </w:r>
            <w:r>
              <w:rPr>
                <w:rFonts w:hint="eastAsia" w:ascii="仿宋" w:hAnsi="仿宋" w:eastAsia="仿宋"/>
                <w:b/>
                <w:color w:val="000000"/>
                <w:szCs w:val="21"/>
              </w:rPr>
              <w:t>2</w:t>
            </w:r>
            <w:r>
              <w:rPr>
                <w:rFonts w:ascii="仿宋" w:hAnsi="仿宋" w:eastAsia="仿宋"/>
                <w:b/>
                <w:color w:val="000000"/>
                <w:szCs w:val="21"/>
              </w:rPr>
              <w:t>-31）</w:t>
            </w:r>
          </w:p>
        </w:tc>
        <w:tc>
          <w:tcPr>
            <w:tcW w:w="17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年涨跌幅（</w:t>
            </w:r>
            <w:r>
              <w:rPr>
                <w:rFonts w:ascii="仿宋" w:hAnsi="仿宋" w:eastAsia="仿宋"/>
                <w:b/>
                <w:color w:val="000000"/>
                <w:szCs w:val="21"/>
              </w:rPr>
              <w:t>%</w:t>
            </w:r>
            <w:r>
              <w:rPr>
                <w:rFonts w:hint="eastAsia" w:ascii="仿宋" w:hAnsi="仿宋" w:eastAsia="仿宋"/>
                <w:b/>
                <w:color w:val="000000"/>
                <w:szCs w:val="21"/>
              </w:rPr>
              <w:t>）</w:t>
            </w: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所属行业（Wind）</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1</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872895.BJ</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花溪科技</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63.66</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14.50</w:t>
            </w:r>
          </w:p>
        </w:tc>
        <w:tc>
          <w:tcPr>
            <w:tcW w:w="1767"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color w:val="000000"/>
                <w:szCs w:val="21"/>
              </w:rPr>
            </w:pPr>
            <w:r>
              <w:rPr>
                <w:rFonts w:hint="eastAsia" w:ascii="仿宋" w:hAnsi="仿宋" w:eastAsia="仿宋"/>
                <w:color w:val="000000"/>
                <w:szCs w:val="21"/>
              </w:rPr>
              <w:t>-</w:t>
            </w:r>
          </w:p>
        </w:tc>
        <w:tc>
          <w:tcPr>
            <w:tcW w:w="20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工业</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2</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835207.BJ</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众诚科技</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58.66</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14.20</w:t>
            </w:r>
          </w:p>
        </w:tc>
        <w:tc>
          <w:tcPr>
            <w:tcW w:w="1767"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color w:val="000000"/>
                <w:szCs w:val="21"/>
              </w:rPr>
            </w:pPr>
            <w:r>
              <w:rPr>
                <w:rFonts w:ascii="仿宋" w:hAnsi="仿宋" w:eastAsia="仿宋"/>
                <w:color w:val="000000"/>
                <w:szCs w:val="21"/>
              </w:rPr>
              <w:t>145.32</w:t>
            </w:r>
          </w:p>
        </w:tc>
        <w:tc>
          <w:tcPr>
            <w:tcW w:w="20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信息技术</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3</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838971.BJ</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天马新材</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48.99</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16.24</w:t>
            </w:r>
          </w:p>
        </w:tc>
        <w:tc>
          <w:tcPr>
            <w:tcW w:w="1767"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color w:val="000000"/>
                <w:szCs w:val="21"/>
              </w:rPr>
            </w:pPr>
            <w:r>
              <w:rPr>
                <w:rFonts w:ascii="仿宋" w:hAnsi="仿宋" w:eastAsia="仿宋"/>
                <w:color w:val="000000"/>
                <w:szCs w:val="21"/>
              </w:rPr>
              <w:t>83.32</w:t>
            </w:r>
          </w:p>
        </w:tc>
        <w:tc>
          <w:tcPr>
            <w:tcW w:w="20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材料</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4</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833580.BJ</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科创新材</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36.79</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8.18</w:t>
            </w:r>
          </w:p>
        </w:tc>
        <w:tc>
          <w:tcPr>
            <w:tcW w:w="1767"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color w:val="000000"/>
                <w:szCs w:val="21"/>
              </w:rPr>
            </w:pPr>
            <w:r>
              <w:rPr>
                <w:rFonts w:ascii="仿宋" w:hAnsi="仿宋" w:eastAsia="仿宋"/>
                <w:color w:val="000000"/>
                <w:szCs w:val="21"/>
              </w:rPr>
              <w:t>98.20</w:t>
            </w:r>
          </w:p>
        </w:tc>
        <w:tc>
          <w:tcPr>
            <w:tcW w:w="20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材料</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5</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831087.BJ</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秋乐种业</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32.54</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11.65</w:t>
            </w:r>
          </w:p>
        </w:tc>
        <w:tc>
          <w:tcPr>
            <w:tcW w:w="1767"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color w:val="000000"/>
                <w:szCs w:val="21"/>
              </w:rPr>
            </w:pPr>
            <w:r>
              <w:rPr>
                <w:rFonts w:ascii="仿宋" w:hAnsi="仿宋" w:eastAsia="仿宋"/>
                <w:color w:val="000000"/>
                <w:szCs w:val="21"/>
              </w:rPr>
              <w:t>112.53</w:t>
            </w:r>
          </w:p>
        </w:tc>
        <w:tc>
          <w:tcPr>
            <w:tcW w:w="20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日常消费</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6</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832225.BJ</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利通科技</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28.97</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21.28</w:t>
            </w:r>
          </w:p>
        </w:tc>
        <w:tc>
          <w:tcPr>
            <w:tcW w:w="1767"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color w:val="000000"/>
                <w:szCs w:val="21"/>
              </w:rPr>
            </w:pPr>
            <w:r>
              <w:rPr>
                <w:rFonts w:ascii="仿宋" w:hAnsi="仿宋" w:eastAsia="仿宋"/>
                <w:color w:val="000000"/>
                <w:szCs w:val="21"/>
              </w:rPr>
              <w:t>268.19</w:t>
            </w:r>
          </w:p>
        </w:tc>
        <w:tc>
          <w:tcPr>
            <w:tcW w:w="20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工业</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7</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832175.BJ</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东方碳素</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26.37</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12.46</w:t>
            </w:r>
          </w:p>
        </w:tc>
        <w:tc>
          <w:tcPr>
            <w:tcW w:w="1767"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color w:val="000000"/>
                <w:szCs w:val="21"/>
              </w:rPr>
            </w:pPr>
            <w:r>
              <w:rPr>
                <w:rFonts w:hint="eastAsia" w:ascii="仿宋" w:hAnsi="仿宋" w:eastAsia="仿宋"/>
                <w:color w:val="000000"/>
                <w:szCs w:val="21"/>
              </w:rPr>
              <w:t>-</w:t>
            </w:r>
          </w:p>
        </w:tc>
        <w:tc>
          <w:tcPr>
            <w:tcW w:w="20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材料</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8</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834415.BJ</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恒拓开源</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23.69</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6.37</w:t>
            </w:r>
          </w:p>
        </w:tc>
        <w:tc>
          <w:tcPr>
            <w:tcW w:w="1767"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color w:val="000000"/>
                <w:szCs w:val="21"/>
              </w:rPr>
            </w:pPr>
            <w:r>
              <w:rPr>
                <w:rFonts w:ascii="仿宋" w:hAnsi="仿宋" w:eastAsia="仿宋"/>
                <w:color w:val="000000"/>
                <w:szCs w:val="21"/>
              </w:rPr>
              <w:t>64.17</w:t>
            </w:r>
          </w:p>
        </w:tc>
        <w:tc>
          <w:tcPr>
            <w:tcW w:w="20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信息技术</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9</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301152.SZ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天力锂能</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21.29</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36.58</w:t>
            </w:r>
          </w:p>
        </w:tc>
        <w:tc>
          <w:tcPr>
            <w:tcW w:w="1767"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color w:val="000000"/>
                <w:szCs w:val="21"/>
              </w:rPr>
            </w:pPr>
            <w:r>
              <w:rPr>
                <w:rFonts w:ascii="仿宋" w:hAnsi="仿宋" w:eastAsia="仿宋"/>
                <w:color w:val="000000"/>
                <w:szCs w:val="21"/>
              </w:rPr>
              <w:t>-23.58</w:t>
            </w:r>
          </w:p>
        </w:tc>
        <w:tc>
          <w:tcPr>
            <w:tcW w:w="20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材料</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10</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002189.SZ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中光学</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20.65</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23.31</w:t>
            </w:r>
          </w:p>
        </w:tc>
        <w:tc>
          <w:tcPr>
            <w:tcW w:w="1767"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color w:val="000000"/>
                <w:szCs w:val="21"/>
              </w:rPr>
            </w:pPr>
            <w:r>
              <w:rPr>
                <w:rFonts w:ascii="仿宋" w:hAnsi="仿宋" w:eastAsia="仿宋"/>
                <w:color w:val="000000"/>
                <w:szCs w:val="21"/>
              </w:rPr>
              <w:t>60.10</w:t>
            </w:r>
          </w:p>
        </w:tc>
        <w:tc>
          <w:tcPr>
            <w:tcW w:w="205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信息技术</w:t>
            </w:r>
          </w:p>
        </w:tc>
      </w:tr>
    </w:tbl>
    <w:p>
      <w:pPr>
        <w:spacing w:before="156" w:beforeLines="50" w:after="156" w:afterLines="50"/>
        <w:ind w:firstLine="560" w:firstLineChars="200"/>
        <w:rPr>
          <w:rFonts w:ascii="仿宋" w:hAnsi="仿宋" w:eastAsia="仿宋"/>
          <w:sz w:val="28"/>
        </w:rPr>
      </w:pPr>
      <w:r>
        <w:rPr>
          <w:rFonts w:hint="eastAsia" w:ascii="仿宋" w:hAnsi="仿宋" w:eastAsia="仿宋"/>
          <w:sz w:val="28"/>
        </w:rPr>
        <w:t>跌幅前</w:t>
      </w:r>
      <w:r>
        <w:rPr>
          <w:rFonts w:ascii="仿宋" w:hAnsi="仿宋" w:eastAsia="仿宋"/>
          <w:sz w:val="28"/>
        </w:rPr>
        <w:t>10位的股票中，</w:t>
      </w:r>
      <w:r>
        <w:rPr>
          <w:rFonts w:hint="eastAsia" w:ascii="仿宋" w:hAnsi="仿宋" w:eastAsia="仿宋"/>
          <w:sz w:val="28"/>
        </w:rPr>
        <w:t>日常消费、材料、可选消费和医疗保健各占据2席，信息技术和工业各占据1席，跌幅最大的为天迈科技，下跌15.87</w:t>
      </w:r>
      <w:r>
        <w:rPr>
          <w:rFonts w:ascii="仿宋" w:hAnsi="仿宋" w:eastAsia="仿宋"/>
          <w:sz w:val="28"/>
        </w:rPr>
        <w:t>%</w:t>
      </w:r>
      <w:r>
        <w:rPr>
          <w:rFonts w:hint="eastAsia" w:ascii="仿宋" w:hAnsi="仿宋" w:eastAsia="仿宋"/>
          <w:sz w:val="28"/>
        </w:rPr>
        <w:t>;其次为好想你，下跌15.53</w:t>
      </w:r>
      <w:r>
        <w:rPr>
          <w:rFonts w:ascii="仿宋" w:hAnsi="仿宋" w:eastAsia="仿宋"/>
          <w:sz w:val="28"/>
        </w:rPr>
        <w:t>%。</w:t>
      </w:r>
    </w:p>
    <w:p>
      <w:pPr>
        <w:spacing w:after="156" w:afterLines="50"/>
        <w:jc w:val="center"/>
        <w:rPr>
          <w:rFonts w:ascii="仿宋" w:hAnsi="仿宋" w:eastAsia="仿宋"/>
          <w:b/>
          <w:sz w:val="24"/>
        </w:rPr>
      </w:pPr>
      <w:r>
        <w:rPr>
          <w:rFonts w:hint="eastAsia" w:ascii="仿宋" w:hAnsi="仿宋" w:eastAsia="仿宋"/>
          <w:b/>
          <w:sz w:val="24"/>
        </w:rPr>
        <w:t>表2月跌幅前10的股票</w:t>
      </w:r>
    </w:p>
    <w:tbl>
      <w:tblPr>
        <w:tblStyle w:val="9"/>
        <w:tblW w:w="10060" w:type="dxa"/>
        <w:jc w:val="center"/>
        <w:tblLayout w:type="fixed"/>
        <w:tblCellMar>
          <w:top w:w="0" w:type="dxa"/>
          <w:left w:w="108" w:type="dxa"/>
          <w:bottom w:w="0" w:type="dxa"/>
          <w:right w:w="108" w:type="dxa"/>
        </w:tblCellMar>
      </w:tblPr>
      <w:tblGrid>
        <w:gridCol w:w="705"/>
        <w:gridCol w:w="1276"/>
        <w:gridCol w:w="1133"/>
        <w:gridCol w:w="1556"/>
        <w:gridCol w:w="1714"/>
        <w:gridCol w:w="1767"/>
        <w:gridCol w:w="1909"/>
      </w:tblGrid>
      <w:tr>
        <w:tblPrEx>
          <w:tblCellMar>
            <w:top w:w="0" w:type="dxa"/>
            <w:left w:w="108" w:type="dxa"/>
            <w:bottom w:w="0" w:type="dxa"/>
            <w:right w:w="108" w:type="dxa"/>
          </w:tblCellMar>
        </w:tblPrEx>
        <w:trPr>
          <w:trHeight w:val="270"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b/>
                <w:color w:val="000000"/>
                <w:szCs w:val="21"/>
              </w:rPr>
            </w:pPr>
            <w:r>
              <w:rPr>
                <w:rFonts w:hint="eastAsia" w:ascii="仿宋" w:hAnsi="仿宋" w:eastAsia="仿宋"/>
                <w:b/>
                <w:color w:val="000000"/>
                <w:szCs w:val="21"/>
              </w:rPr>
              <w:t>序号</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证券代码</w:t>
            </w:r>
          </w:p>
        </w:tc>
        <w:tc>
          <w:tcPr>
            <w:tcW w:w="11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证券简称</w:t>
            </w:r>
          </w:p>
        </w:tc>
        <w:tc>
          <w:tcPr>
            <w:tcW w:w="155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b/>
                <w:color w:val="000000"/>
                <w:szCs w:val="21"/>
              </w:rPr>
            </w:pPr>
            <w:r>
              <w:rPr>
                <w:rFonts w:hint="eastAsia" w:ascii="仿宋" w:hAnsi="仿宋" w:eastAsia="仿宋"/>
                <w:b/>
                <w:color w:val="000000"/>
                <w:szCs w:val="21"/>
              </w:rPr>
              <w:t>月跌幅（</w:t>
            </w:r>
            <w:r>
              <w:rPr>
                <w:rFonts w:ascii="仿宋" w:hAnsi="仿宋" w:eastAsia="仿宋"/>
                <w:b/>
                <w:color w:val="000000"/>
                <w:szCs w:val="21"/>
              </w:rPr>
              <w:t>%</w:t>
            </w:r>
            <w:r>
              <w:rPr>
                <w:rFonts w:hint="eastAsia" w:ascii="仿宋" w:hAnsi="仿宋" w:eastAsia="仿宋"/>
                <w:b/>
                <w:color w:val="000000"/>
                <w:szCs w:val="21"/>
              </w:rPr>
              <w:t>）</w:t>
            </w:r>
          </w:p>
        </w:tc>
        <w:tc>
          <w:tcPr>
            <w:tcW w:w="17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收盘价</w:t>
            </w:r>
          </w:p>
          <w:p>
            <w:pPr>
              <w:widowControl/>
              <w:jc w:val="center"/>
              <w:rPr>
                <w:rFonts w:ascii="仿宋" w:hAnsi="仿宋" w:eastAsia="仿宋"/>
                <w:b/>
                <w:color w:val="000000"/>
                <w:szCs w:val="21"/>
              </w:rPr>
            </w:pPr>
            <w:r>
              <w:rPr>
                <w:rFonts w:ascii="仿宋" w:hAnsi="仿宋" w:eastAsia="仿宋"/>
                <w:b/>
                <w:color w:val="000000"/>
                <w:szCs w:val="21"/>
              </w:rPr>
              <w:t>（2023-1</w:t>
            </w:r>
            <w:r>
              <w:rPr>
                <w:rFonts w:hint="eastAsia" w:ascii="仿宋" w:hAnsi="仿宋" w:eastAsia="仿宋"/>
                <w:b/>
                <w:color w:val="000000"/>
                <w:szCs w:val="21"/>
              </w:rPr>
              <w:t>2</w:t>
            </w:r>
            <w:r>
              <w:rPr>
                <w:rFonts w:ascii="仿宋" w:hAnsi="仿宋" w:eastAsia="仿宋"/>
                <w:b/>
                <w:color w:val="000000"/>
                <w:szCs w:val="21"/>
              </w:rPr>
              <w:t>-31）</w:t>
            </w:r>
          </w:p>
        </w:tc>
        <w:tc>
          <w:tcPr>
            <w:tcW w:w="17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年涨跌幅（</w:t>
            </w:r>
            <w:r>
              <w:rPr>
                <w:rFonts w:ascii="仿宋" w:hAnsi="仿宋" w:eastAsia="仿宋"/>
                <w:b/>
                <w:color w:val="000000"/>
                <w:szCs w:val="21"/>
              </w:rPr>
              <w:t>%</w:t>
            </w:r>
            <w:r>
              <w:rPr>
                <w:rFonts w:hint="eastAsia" w:ascii="仿宋" w:hAnsi="仿宋" w:eastAsia="仿宋"/>
                <w:b/>
                <w:color w:val="000000"/>
                <w:szCs w:val="21"/>
              </w:rPr>
              <w:t>）</w:t>
            </w:r>
          </w:p>
        </w:tc>
        <w:tc>
          <w:tcPr>
            <w:tcW w:w="19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b/>
                <w:color w:val="000000"/>
                <w:szCs w:val="21"/>
              </w:rPr>
            </w:pPr>
            <w:r>
              <w:rPr>
                <w:rFonts w:hint="eastAsia" w:ascii="仿宋" w:hAnsi="仿宋" w:eastAsia="仿宋"/>
                <w:b/>
                <w:color w:val="000000"/>
                <w:szCs w:val="21"/>
              </w:rPr>
              <w:t>所属行业（Wind）</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1</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300807.SZ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天迈科技</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-15.87</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31.48</w:t>
            </w:r>
          </w:p>
        </w:tc>
        <w:tc>
          <w:tcPr>
            <w:tcW w:w="1767"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color w:val="000000"/>
                <w:szCs w:val="21"/>
              </w:rPr>
            </w:pPr>
            <w:r>
              <w:rPr>
                <w:rFonts w:ascii="仿宋" w:hAnsi="仿宋" w:eastAsia="仿宋"/>
                <w:color w:val="000000"/>
                <w:szCs w:val="21"/>
              </w:rPr>
              <w:t>54.01</w:t>
            </w:r>
          </w:p>
        </w:tc>
        <w:tc>
          <w:tcPr>
            <w:tcW w:w="19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信息技术</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2</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002582.SZ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好想你</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-15.53</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7.67</w:t>
            </w:r>
          </w:p>
        </w:tc>
        <w:tc>
          <w:tcPr>
            <w:tcW w:w="1767"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color w:val="000000"/>
                <w:szCs w:val="21"/>
              </w:rPr>
            </w:pPr>
            <w:r>
              <w:rPr>
                <w:rFonts w:ascii="仿宋" w:hAnsi="仿宋" w:eastAsia="仿宋"/>
                <w:color w:val="000000"/>
                <w:szCs w:val="21"/>
              </w:rPr>
              <w:t>-18.34</w:t>
            </w:r>
          </w:p>
        </w:tc>
        <w:tc>
          <w:tcPr>
            <w:tcW w:w="19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日常消费</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3</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300614.SZ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百川畅银</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-13.45</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18.73</w:t>
            </w:r>
          </w:p>
        </w:tc>
        <w:tc>
          <w:tcPr>
            <w:tcW w:w="1767"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color w:val="000000"/>
                <w:szCs w:val="21"/>
              </w:rPr>
            </w:pPr>
            <w:r>
              <w:rPr>
                <w:rFonts w:ascii="仿宋" w:hAnsi="仿宋" w:eastAsia="仿宋"/>
                <w:color w:val="000000"/>
                <w:szCs w:val="21"/>
              </w:rPr>
              <w:t>-16.95</w:t>
            </w:r>
          </w:p>
        </w:tc>
        <w:tc>
          <w:tcPr>
            <w:tcW w:w="19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工业</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4</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301207.SZ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华兰疫苗</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-12.19</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27.80</w:t>
            </w:r>
          </w:p>
        </w:tc>
        <w:tc>
          <w:tcPr>
            <w:tcW w:w="1767"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color w:val="000000"/>
                <w:szCs w:val="21"/>
              </w:rPr>
            </w:pPr>
            <w:r>
              <w:rPr>
                <w:rFonts w:ascii="仿宋" w:hAnsi="仿宋" w:eastAsia="仿宋"/>
                <w:color w:val="000000"/>
                <w:szCs w:val="21"/>
              </w:rPr>
              <w:t>-5.90</w:t>
            </w:r>
          </w:p>
        </w:tc>
        <w:tc>
          <w:tcPr>
            <w:tcW w:w="19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医疗保健</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5</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002406.SZ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远东传动</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-10.77</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6.38</w:t>
            </w:r>
          </w:p>
        </w:tc>
        <w:tc>
          <w:tcPr>
            <w:tcW w:w="1767"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color w:val="000000"/>
                <w:szCs w:val="21"/>
              </w:rPr>
            </w:pPr>
            <w:r>
              <w:rPr>
                <w:rFonts w:ascii="仿宋" w:hAnsi="仿宋" w:eastAsia="仿宋"/>
                <w:color w:val="000000"/>
                <w:szCs w:val="21"/>
              </w:rPr>
              <w:t>37.14</w:t>
            </w:r>
          </w:p>
        </w:tc>
        <w:tc>
          <w:tcPr>
            <w:tcW w:w="19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可选消费</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6</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300910.SZ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瑞丰新材</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-9.41</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45.94</w:t>
            </w:r>
          </w:p>
        </w:tc>
        <w:tc>
          <w:tcPr>
            <w:tcW w:w="1767"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color w:val="000000"/>
                <w:szCs w:val="21"/>
              </w:rPr>
            </w:pPr>
            <w:r>
              <w:rPr>
                <w:rFonts w:ascii="仿宋" w:hAnsi="仿宋" w:eastAsia="仿宋"/>
                <w:color w:val="000000"/>
                <w:szCs w:val="21"/>
              </w:rPr>
              <w:t>-27.66</w:t>
            </w:r>
          </w:p>
        </w:tc>
        <w:tc>
          <w:tcPr>
            <w:tcW w:w="19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材料</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7</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001215.SZ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千味央厨</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-8.92</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52.81</w:t>
            </w:r>
          </w:p>
        </w:tc>
        <w:tc>
          <w:tcPr>
            <w:tcW w:w="1767"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color w:val="000000"/>
                <w:szCs w:val="21"/>
              </w:rPr>
            </w:pPr>
            <w:r>
              <w:rPr>
                <w:rFonts w:ascii="仿宋" w:hAnsi="仿宋" w:eastAsia="仿宋"/>
                <w:color w:val="000000"/>
                <w:szCs w:val="21"/>
              </w:rPr>
              <w:t>-19.26</w:t>
            </w:r>
          </w:p>
        </w:tc>
        <w:tc>
          <w:tcPr>
            <w:tcW w:w="19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日常消费</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8</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002448.SZ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中原内配</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-8.92</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6.64</w:t>
            </w:r>
          </w:p>
        </w:tc>
        <w:tc>
          <w:tcPr>
            <w:tcW w:w="1767"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color w:val="000000"/>
                <w:szCs w:val="21"/>
              </w:rPr>
            </w:pPr>
            <w:r>
              <w:rPr>
                <w:rFonts w:ascii="仿宋" w:hAnsi="仿宋" w:eastAsia="仿宋"/>
                <w:color w:val="000000"/>
                <w:szCs w:val="21"/>
              </w:rPr>
              <w:t>25.44</w:t>
            </w:r>
          </w:p>
        </w:tc>
        <w:tc>
          <w:tcPr>
            <w:tcW w:w="19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可选消费</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9</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300179.SZ</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四方达</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-8.90</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8.91</w:t>
            </w:r>
          </w:p>
        </w:tc>
        <w:tc>
          <w:tcPr>
            <w:tcW w:w="1767"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color w:val="000000"/>
                <w:szCs w:val="21"/>
              </w:rPr>
            </w:pPr>
            <w:r>
              <w:rPr>
                <w:rFonts w:ascii="仿宋" w:hAnsi="仿宋" w:eastAsia="仿宋"/>
                <w:color w:val="000000"/>
                <w:szCs w:val="21"/>
              </w:rPr>
              <w:t>-27.91</w:t>
            </w:r>
          </w:p>
        </w:tc>
        <w:tc>
          <w:tcPr>
            <w:tcW w:w="19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材料</w:t>
            </w:r>
          </w:p>
        </w:tc>
      </w:tr>
      <w:tr>
        <w:tblPrEx>
          <w:tblCellMar>
            <w:top w:w="0" w:type="dxa"/>
            <w:left w:w="108" w:type="dxa"/>
            <w:bottom w:w="0" w:type="dxa"/>
            <w:right w:w="108" w:type="dxa"/>
          </w:tblCellMar>
        </w:tblPrEx>
        <w:trPr>
          <w:trHeight w:val="270" w:hRule="atLeast"/>
          <w:jc w:val="center"/>
        </w:trPr>
        <w:tc>
          <w:tcPr>
            <w:tcW w:w="70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olor w:val="000000"/>
                <w:szCs w:val="21"/>
              </w:rPr>
            </w:pPr>
            <w:r>
              <w:rPr>
                <w:rFonts w:hint="eastAsia" w:ascii="仿宋" w:hAnsi="仿宋" w:eastAsia="仿宋"/>
                <w:color w:val="000000"/>
                <w:szCs w:val="21"/>
              </w:rPr>
              <w:t>10</w:t>
            </w:r>
          </w:p>
        </w:tc>
        <w:tc>
          <w:tcPr>
            <w:tcW w:w="1276" w:type="dxa"/>
            <w:tcBorders>
              <w:top w:val="nil"/>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600222.SH</w:t>
            </w:r>
          </w:p>
        </w:tc>
        <w:tc>
          <w:tcPr>
            <w:tcW w:w="1133" w:type="dxa"/>
            <w:tcBorders>
              <w:top w:val="nil"/>
              <w:left w:val="nil"/>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太龙药业</w:t>
            </w:r>
          </w:p>
        </w:tc>
        <w:tc>
          <w:tcPr>
            <w:tcW w:w="1556" w:type="dxa"/>
            <w:tcBorders>
              <w:top w:val="single" w:color="auto" w:sz="4" w:space="0"/>
              <w:left w:val="nil"/>
              <w:bottom w:val="single" w:color="auto" w:sz="4" w:space="0"/>
              <w:right w:val="single" w:color="auto" w:sz="4" w:space="0"/>
            </w:tcBorders>
          </w:tcPr>
          <w:p>
            <w:pPr>
              <w:widowControl/>
              <w:jc w:val="center"/>
              <w:rPr>
                <w:rFonts w:ascii="仿宋" w:hAnsi="仿宋" w:eastAsia="仿宋"/>
                <w:color w:val="000000"/>
                <w:szCs w:val="21"/>
              </w:rPr>
            </w:pPr>
            <w:r>
              <w:rPr>
                <w:rFonts w:hint="eastAsia" w:ascii="仿宋" w:hAnsi="仿宋" w:eastAsia="仿宋"/>
                <w:color w:val="000000"/>
                <w:szCs w:val="21"/>
              </w:rPr>
              <w:t>-8.78</w:t>
            </w:r>
          </w:p>
        </w:tc>
        <w:tc>
          <w:tcPr>
            <w:tcW w:w="1714"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仿宋" w:hAnsi="仿宋" w:eastAsia="仿宋"/>
                <w:color w:val="000000"/>
                <w:szCs w:val="21"/>
              </w:rPr>
            </w:pPr>
            <w:r>
              <w:rPr>
                <w:rFonts w:hint="eastAsia" w:ascii="仿宋" w:hAnsi="仿宋" w:eastAsia="仿宋"/>
                <w:color w:val="000000"/>
                <w:szCs w:val="21"/>
              </w:rPr>
              <w:t>6.13</w:t>
            </w:r>
          </w:p>
        </w:tc>
        <w:tc>
          <w:tcPr>
            <w:tcW w:w="1767"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 w:hAnsi="仿宋" w:eastAsia="仿宋"/>
                <w:color w:val="000000"/>
                <w:szCs w:val="21"/>
              </w:rPr>
            </w:pPr>
            <w:r>
              <w:rPr>
                <w:rFonts w:ascii="仿宋" w:hAnsi="仿宋" w:eastAsia="仿宋"/>
                <w:color w:val="000000"/>
                <w:szCs w:val="21"/>
              </w:rPr>
              <w:t>-3.77</w:t>
            </w:r>
          </w:p>
        </w:tc>
        <w:tc>
          <w:tcPr>
            <w:tcW w:w="19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olor w:val="000000"/>
                <w:szCs w:val="21"/>
              </w:rPr>
            </w:pPr>
            <w:r>
              <w:rPr>
                <w:rFonts w:hint="eastAsia" w:ascii="仿宋" w:hAnsi="仿宋" w:eastAsia="仿宋"/>
                <w:color w:val="000000"/>
                <w:szCs w:val="21"/>
              </w:rPr>
              <w:t>医疗保健</w:t>
            </w:r>
          </w:p>
        </w:tc>
      </w:tr>
    </w:tbl>
    <w:p>
      <w:pPr>
        <w:spacing w:before="156" w:beforeLines="50" w:after="156" w:afterLines="50"/>
        <w:rPr>
          <w:rFonts w:ascii="仿宋" w:hAnsi="仿宋" w:eastAsia="仿宋"/>
          <w:b/>
          <w:sz w:val="28"/>
        </w:rPr>
      </w:pPr>
      <w:r>
        <w:rPr>
          <w:rFonts w:hint="eastAsia" w:ascii="仿宋" w:hAnsi="仿宋" w:eastAsia="仿宋"/>
          <w:b/>
          <w:sz w:val="28"/>
        </w:rPr>
        <w:t>五、河南</w:t>
      </w:r>
      <w:r>
        <w:rPr>
          <w:rFonts w:ascii="仿宋" w:hAnsi="仿宋" w:eastAsia="仿宋"/>
          <w:b/>
          <w:sz w:val="28"/>
        </w:rPr>
        <w:t>辖区</w:t>
      </w:r>
      <w:r>
        <w:rPr>
          <w:rFonts w:hint="eastAsia" w:ascii="仿宋" w:hAnsi="仿宋" w:eastAsia="仿宋"/>
          <w:b/>
          <w:sz w:val="28"/>
        </w:rPr>
        <w:t>上市公司</w:t>
      </w:r>
      <w:r>
        <w:rPr>
          <w:rFonts w:ascii="仿宋" w:hAnsi="仿宋" w:eastAsia="仿宋"/>
          <w:b/>
          <w:sz w:val="28"/>
        </w:rPr>
        <w:t>1</w:t>
      </w:r>
      <w:r>
        <w:rPr>
          <w:rFonts w:hint="eastAsia" w:ascii="仿宋" w:hAnsi="仿宋" w:eastAsia="仿宋"/>
          <w:b/>
          <w:sz w:val="28"/>
        </w:rPr>
        <w:t>2</w:t>
      </w:r>
      <w:r>
        <w:rPr>
          <w:rFonts w:ascii="仿宋" w:hAnsi="仿宋" w:eastAsia="仿宋"/>
          <w:b/>
          <w:sz w:val="28"/>
        </w:rPr>
        <w:t>月重大事项</w:t>
      </w:r>
    </w:p>
    <w:p>
      <w:pPr>
        <w:spacing w:before="156" w:beforeLines="50" w:after="156" w:afterLines="50"/>
        <w:ind w:firstLine="562" w:firstLineChars="200"/>
        <w:rPr>
          <w:rFonts w:ascii="仿宋" w:hAnsi="仿宋" w:eastAsia="仿宋"/>
          <w:b/>
          <w:sz w:val="28"/>
          <w:szCs w:val="30"/>
        </w:rPr>
      </w:pPr>
      <w:r>
        <w:rPr>
          <w:rFonts w:hint="eastAsia" w:ascii="仿宋" w:hAnsi="仿宋" w:eastAsia="仿宋"/>
          <w:b/>
          <w:sz w:val="28"/>
          <w:szCs w:val="30"/>
        </w:rPr>
        <w:t>1.IPO相关</w:t>
      </w:r>
    </w:p>
    <w:p>
      <w:pPr>
        <w:spacing w:before="156" w:beforeLines="50" w:after="156" w:afterLines="50"/>
        <w:ind w:firstLine="560" w:firstLineChars="200"/>
        <w:rPr>
          <w:rFonts w:ascii="仿宋" w:hAnsi="仿宋" w:eastAsia="仿宋"/>
          <w:sz w:val="28"/>
        </w:rPr>
      </w:pPr>
      <w:r>
        <w:rPr>
          <w:rFonts w:hint="eastAsia" w:ascii="仿宋" w:hAnsi="仿宋" w:eastAsia="仿宋"/>
          <w:sz w:val="28"/>
        </w:rPr>
        <w:t>本月无IPO上市、获发批文及过会事宜。</w:t>
      </w:r>
    </w:p>
    <w:p>
      <w:pPr>
        <w:spacing w:before="156" w:beforeLines="50" w:after="156" w:afterLines="50"/>
        <w:ind w:firstLine="562" w:firstLineChars="200"/>
        <w:rPr>
          <w:rFonts w:ascii="仿宋" w:hAnsi="仿宋" w:eastAsia="仿宋"/>
          <w:b/>
          <w:sz w:val="28"/>
          <w:szCs w:val="30"/>
        </w:rPr>
      </w:pPr>
      <w:r>
        <w:rPr>
          <w:rFonts w:hint="eastAsia" w:ascii="仿宋" w:hAnsi="仿宋" w:eastAsia="仿宋"/>
          <w:b/>
          <w:sz w:val="28"/>
          <w:szCs w:val="30"/>
        </w:rPr>
        <w:t>2.资本运作</w:t>
      </w:r>
    </w:p>
    <w:p>
      <w:pPr>
        <w:spacing w:before="156" w:beforeLines="50" w:after="156" w:afterLines="50"/>
        <w:ind w:firstLine="560" w:firstLineChars="200"/>
        <w:rPr>
          <w:rFonts w:ascii="仿宋" w:hAnsi="仿宋" w:eastAsia="仿宋"/>
          <w:sz w:val="28"/>
        </w:rPr>
      </w:pPr>
      <w:r>
        <w:rPr>
          <w:rFonts w:hint="eastAsia" w:ascii="仿宋" w:hAnsi="仿宋" w:eastAsia="仿宋"/>
          <w:sz w:val="28"/>
        </w:rPr>
        <w:t>本月无再融资实施完成事项。</w:t>
      </w:r>
    </w:p>
    <w:p>
      <w:pPr>
        <w:spacing w:before="156" w:beforeLines="50" w:after="156" w:afterLines="50"/>
        <w:jc w:val="center"/>
        <w:rPr>
          <w:rFonts w:ascii="仿宋" w:hAnsi="仿宋" w:eastAsia="仿宋"/>
          <w:b/>
          <w:sz w:val="24"/>
        </w:rPr>
      </w:pPr>
      <w:r>
        <w:rPr>
          <w:rFonts w:ascii="仿宋" w:hAnsi="仿宋" w:eastAsia="仿宋"/>
          <w:b/>
          <w:sz w:val="24"/>
        </w:rPr>
        <w:t>表3对外投资事项</w:t>
      </w:r>
    </w:p>
    <w:tbl>
      <w:tblPr>
        <w:tblStyle w:val="9"/>
        <w:tblW w:w="105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276"/>
        <w:gridCol w:w="1161"/>
        <w:gridCol w:w="1134"/>
        <w:gridCol w:w="6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
                <w:szCs w:val="21"/>
              </w:rPr>
            </w:pPr>
            <w:r>
              <w:rPr>
                <w:rFonts w:hint="eastAsia" w:ascii="仿宋" w:hAnsi="仿宋" w:eastAsia="仿宋"/>
                <w:b/>
                <w:szCs w:val="21"/>
              </w:rPr>
              <w:t>序号</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披露日期</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证券代码</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证券名称</w:t>
            </w:r>
          </w:p>
        </w:tc>
        <w:tc>
          <w:tcPr>
            <w:tcW w:w="63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公告事项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2023-12-29</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300829.SZ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金丹科技</w:t>
            </w:r>
          </w:p>
        </w:tc>
        <w:tc>
          <w:tcPr>
            <w:tcW w:w="631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近日，公司在授权范围内使用部分闲置募集资金进行了现金管理。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2023-12-23</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603658.SH</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安图生物</w:t>
            </w:r>
          </w:p>
        </w:tc>
        <w:tc>
          <w:tcPr>
            <w:tcW w:w="631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现金管理种类：大额存单、结构性存款现金管理金额：18,000万元公开发行可转换公司债券闲置募集资金；173,000万元非公开发行股票闲置募集资金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2023-12-23</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002536.SZ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飞龙股份</w:t>
            </w:r>
          </w:p>
        </w:tc>
        <w:tc>
          <w:tcPr>
            <w:tcW w:w="631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公司近期使用闲置自有资金购买了理财产品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4</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2023-12-15</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003008.SZ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开普检测</w:t>
            </w:r>
          </w:p>
        </w:tc>
        <w:tc>
          <w:tcPr>
            <w:tcW w:w="631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公司（含子公司）近日与中国银河证券股份有限公司、国泰君安证券股份有限公司签订协议，使用自有资金购买理财产品。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5</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2023-12-15</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002536.SZ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飞龙股份</w:t>
            </w:r>
          </w:p>
        </w:tc>
        <w:tc>
          <w:tcPr>
            <w:tcW w:w="631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近日，公司购买了理财产品。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6</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2023-12-07</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300481.SZ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濮阳惠成</w:t>
            </w:r>
          </w:p>
        </w:tc>
        <w:tc>
          <w:tcPr>
            <w:tcW w:w="631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本次使用暂时闲置募集资金和自有资金进行现金管理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7</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szCs w:val="21"/>
              </w:rPr>
              <w:t>2023-12-04</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301277.SZ</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新天地</w:t>
            </w:r>
          </w:p>
        </w:tc>
        <w:tc>
          <w:tcPr>
            <w:tcW w:w="631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新天地药业股份有限公司（以下简称“公司”）于2023年12月2日召开第五届董事会第十七次会议、第五届监事会第十三次会议，审议通过了&lt;&lt;关于使用部分闲置募集资金进行现金管理的议案&gt;&gt;，公司计划使用最高额不超过人民币5.3亿元（含5.3亿元）的暂时闲置募集资金进行现金管理，在上述额度内，资金可以滚动使用，使用期限自董事会审议通过之日起12个月内有效。董事会授权公司管理层在授权额度和期限内行使现金管理投资决策权并签署相关合同文件，具体事项由公司财务部负责组织实施。</w:t>
            </w:r>
          </w:p>
        </w:tc>
      </w:tr>
    </w:tbl>
    <w:p>
      <w:pPr>
        <w:spacing w:before="156" w:beforeLines="50" w:after="156" w:afterLines="50"/>
        <w:jc w:val="center"/>
        <w:rPr>
          <w:rFonts w:ascii="仿宋" w:hAnsi="仿宋" w:eastAsia="仿宋"/>
          <w:b/>
          <w:sz w:val="24"/>
        </w:rPr>
      </w:pPr>
      <w:r>
        <w:rPr>
          <w:rFonts w:hint="eastAsia" w:ascii="仿宋" w:hAnsi="仿宋" w:eastAsia="仿宋"/>
          <w:b/>
          <w:sz w:val="24"/>
        </w:rPr>
        <w:t>表4　再融资预案披露事项</w:t>
      </w:r>
    </w:p>
    <w:tbl>
      <w:tblPr>
        <w:tblStyle w:val="9"/>
        <w:tblW w:w="11126" w:type="dxa"/>
        <w:jc w:val="center"/>
        <w:tblLayout w:type="fixed"/>
        <w:tblCellMar>
          <w:top w:w="0" w:type="dxa"/>
          <w:left w:w="108" w:type="dxa"/>
          <w:bottom w:w="0" w:type="dxa"/>
          <w:right w:w="108" w:type="dxa"/>
        </w:tblCellMar>
      </w:tblPr>
      <w:tblGrid>
        <w:gridCol w:w="680"/>
        <w:gridCol w:w="1418"/>
        <w:gridCol w:w="1275"/>
        <w:gridCol w:w="1215"/>
        <w:gridCol w:w="1200"/>
        <w:gridCol w:w="1185"/>
        <w:gridCol w:w="1080"/>
        <w:gridCol w:w="1530"/>
        <w:gridCol w:w="1543"/>
      </w:tblGrid>
      <w:tr>
        <w:tblPrEx>
          <w:tblCellMar>
            <w:top w:w="0" w:type="dxa"/>
            <w:left w:w="108" w:type="dxa"/>
            <w:bottom w:w="0" w:type="dxa"/>
            <w:right w:w="108" w:type="dxa"/>
          </w:tblCellMar>
        </w:tblPrEx>
        <w:trPr>
          <w:trHeight w:val="270" w:hRule="atLeast"/>
          <w:jc w:val="center"/>
        </w:trPr>
        <w:tc>
          <w:tcPr>
            <w:tcW w:w="6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序号</w:t>
            </w:r>
          </w:p>
        </w:tc>
        <w:tc>
          <w:tcPr>
            <w:tcW w:w="1418"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预案公告日</w:t>
            </w:r>
          </w:p>
        </w:tc>
        <w:tc>
          <w:tcPr>
            <w:tcW w:w="127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最新披露日</w:t>
            </w:r>
          </w:p>
        </w:tc>
        <w:tc>
          <w:tcPr>
            <w:tcW w:w="121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证券代码</w:t>
            </w:r>
          </w:p>
        </w:tc>
        <w:tc>
          <w:tcPr>
            <w:tcW w:w="120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证券名称</w:t>
            </w:r>
          </w:p>
        </w:tc>
        <w:tc>
          <w:tcPr>
            <w:tcW w:w="1185" w:type="dxa"/>
            <w:tcBorders>
              <w:top w:val="single" w:color="auto" w:sz="4" w:space="0"/>
              <w:left w:val="nil"/>
              <w:bottom w:val="single" w:color="auto" w:sz="4" w:space="0"/>
              <w:right w:val="single" w:color="auto" w:sz="4" w:space="0"/>
            </w:tcBorders>
            <w:vAlign w:val="center"/>
          </w:tcPr>
          <w:p>
            <w:pPr>
              <w:jc w:val="center"/>
              <w:rPr>
                <w:rFonts w:ascii="仿宋" w:hAnsi="仿宋" w:eastAsia="仿宋"/>
                <w:b/>
                <w:szCs w:val="21"/>
              </w:rPr>
            </w:pPr>
            <w:r>
              <w:rPr>
                <w:rFonts w:hint="eastAsia" w:ascii="仿宋" w:hAnsi="仿宋" w:eastAsia="仿宋"/>
                <w:b/>
                <w:szCs w:val="21"/>
              </w:rPr>
              <w:t>事项类型</w:t>
            </w:r>
          </w:p>
        </w:tc>
        <w:tc>
          <w:tcPr>
            <w:tcW w:w="1080" w:type="dxa"/>
            <w:tcBorders>
              <w:top w:val="single" w:color="auto" w:sz="4" w:space="0"/>
              <w:left w:val="nil"/>
              <w:bottom w:val="single" w:color="auto" w:sz="4" w:space="0"/>
              <w:right w:val="single" w:color="auto" w:sz="4" w:space="0"/>
            </w:tcBorders>
            <w:vAlign w:val="center"/>
          </w:tcPr>
          <w:p>
            <w:pPr>
              <w:jc w:val="center"/>
              <w:rPr>
                <w:rFonts w:ascii="仿宋" w:hAnsi="仿宋" w:eastAsia="仿宋"/>
                <w:b/>
                <w:szCs w:val="21"/>
              </w:rPr>
            </w:pPr>
            <w:r>
              <w:rPr>
                <w:rFonts w:hint="eastAsia" w:ascii="仿宋" w:hAnsi="仿宋" w:eastAsia="仿宋"/>
                <w:b/>
                <w:szCs w:val="21"/>
              </w:rPr>
              <w:t>定向增发目的</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方案进度</w:t>
            </w:r>
          </w:p>
        </w:tc>
        <w:tc>
          <w:tcPr>
            <w:tcW w:w="1543"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预计募集资金</w:t>
            </w:r>
          </w:p>
          <w:p>
            <w:pPr>
              <w:jc w:val="center"/>
              <w:rPr>
                <w:rFonts w:ascii="仿宋" w:hAnsi="仿宋" w:eastAsia="仿宋"/>
                <w:b/>
                <w:szCs w:val="21"/>
              </w:rPr>
            </w:pPr>
            <w:r>
              <w:rPr>
                <w:rFonts w:hint="eastAsia" w:ascii="仿宋" w:hAnsi="仿宋" w:eastAsia="仿宋"/>
                <w:b/>
                <w:szCs w:val="21"/>
              </w:rPr>
              <w:t>(亿元)</w:t>
            </w:r>
          </w:p>
        </w:tc>
      </w:tr>
      <w:tr>
        <w:tblPrEx>
          <w:tblCellMar>
            <w:top w:w="0" w:type="dxa"/>
            <w:left w:w="108" w:type="dxa"/>
            <w:bottom w:w="0" w:type="dxa"/>
            <w:right w:w="108" w:type="dxa"/>
          </w:tblCellMar>
        </w:tblPrEx>
        <w:trPr>
          <w:trHeight w:val="270" w:hRule="atLeast"/>
          <w:jc w:val="center"/>
        </w:trPr>
        <w:tc>
          <w:tcPr>
            <w:tcW w:w="68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ascii="仿宋" w:hAnsi="仿宋" w:eastAsia="仿宋"/>
                <w:szCs w:val="21"/>
              </w:rPr>
              <w:t>1</w:t>
            </w:r>
          </w:p>
        </w:tc>
        <w:tc>
          <w:tcPr>
            <w:tcW w:w="141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2023-12-30</w:t>
            </w:r>
          </w:p>
        </w:tc>
        <w:tc>
          <w:tcPr>
            <w:tcW w:w="127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2023-12-30</w:t>
            </w:r>
          </w:p>
        </w:tc>
        <w:tc>
          <w:tcPr>
            <w:tcW w:w="121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001896.SZ</w:t>
            </w:r>
          </w:p>
        </w:tc>
        <w:tc>
          <w:tcPr>
            <w:tcW w:w="12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豫能控股</w:t>
            </w:r>
          </w:p>
        </w:tc>
        <w:tc>
          <w:tcPr>
            <w:tcW w:w="118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增发</w:t>
            </w:r>
          </w:p>
        </w:tc>
        <w:tc>
          <w:tcPr>
            <w:tcW w:w="108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项目融资</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董事会预案</w:t>
            </w:r>
          </w:p>
        </w:tc>
        <w:tc>
          <w:tcPr>
            <w:tcW w:w="154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20.00</w:t>
            </w:r>
          </w:p>
        </w:tc>
      </w:tr>
      <w:tr>
        <w:tblPrEx>
          <w:tblCellMar>
            <w:top w:w="0" w:type="dxa"/>
            <w:left w:w="108" w:type="dxa"/>
            <w:bottom w:w="0" w:type="dxa"/>
            <w:right w:w="108" w:type="dxa"/>
          </w:tblCellMar>
        </w:tblPrEx>
        <w:trPr>
          <w:trHeight w:val="270" w:hRule="atLeast"/>
          <w:jc w:val="center"/>
        </w:trPr>
        <w:tc>
          <w:tcPr>
            <w:tcW w:w="68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ascii="仿宋" w:hAnsi="仿宋" w:eastAsia="仿宋"/>
                <w:szCs w:val="21"/>
              </w:rPr>
              <w:t>2</w:t>
            </w:r>
          </w:p>
        </w:tc>
        <w:tc>
          <w:tcPr>
            <w:tcW w:w="141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2022-12-22</w:t>
            </w:r>
          </w:p>
        </w:tc>
        <w:tc>
          <w:tcPr>
            <w:tcW w:w="127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2023-12-19</w:t>
            </w:r>
          </w:p>
        </w:tc>
        <w:tc>
          <w:tcPr>
            <w:tcW w:w="121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000885.SZ</w:t>
            </w:r>
          </w:p>
        </w:tc>
        <w:tc>
          <w:tcPr>
            <w:tcW w:w="1200"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城发环境</w:t>
            </w:r>
          </w:p>
        </w:tc>
        <w:tc>
          <w:tcPr>
            <w:tcW w:w="118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可转债</w:t>
            </w:r>
          </w:p>
        </w:tc>
        <w:tc>
          <w:tcPr>
            <w:tcW w:w="108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股东大会通过</w:t>
            </w:r>
          </w:p>
        </w:tc>
        <w:tc>
          <w:tcPr>
            <w:tcW w:w="154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19.60</w:t>
            </w:r>
          </w:p>
        </w:tc>
      </w:tr>
    </w:tbl>
    <w:p>
      <w:pPr>
        <w:spacing w:before="156" w:beforeLines="50" w:after="156" w:afterLines="50"/>
        <w:jc w:val="center"/>
        <w:rPr>
          <w:rFonts w:ascii="仿宋" w:hAnsi="仿宋" w:eastAsia="仿宋"/>
          <w:b/>
          <w:sz w:val="24"/>
        </w:rPr>
      </w:pPr>
      <w:r>
        <w:rPr>
          <w:rFonts w:ascii="仿宋" w:hAnsi="仿宋" w:eastAsia="仿宋"/>
          <w:b/>
          <w:sz w:val="24"/>
        </w:rPr>
        <w:t>表5　上市公司重大资产重组事项</w:t>
      </w:r>
    </w:p>
    <w:tbl>
      <w:tblPr>
        <w:tblStyle w:val="9"/>
        <w:tblW w:w="10765" w:type="dxa"/>
        <w:jc w:val="center"/>
        <w:tblLayout w:type="fixed"/>
        <w:tblCellMar>
          <w:top w:w="0" w:type="dxa"/>
          <w:left w:w="108" w:type="dxa"/>
          <w:bottom w:w="0" w:type="dxa"/>
          <w:right w:w="108" w:type="dxa"/>
        </w:tblCellMar>
      </w:tblPr>
      <w:tblGrid>
        <w:gridCol w:w="709"/>
        <w:gridCol w:w="1276"/>
        <w:gridCol w:w="1134"/>
        <w:gridCol w:w="1276"/>
        <w:gridCol w:w="1276"/>
        <w:gridCol w:w="1359"/>
        <w:gridCol w:w="1617"/>
        <w:gridCol w:w="2118"/>
      </w:tblGrid>
      <w:tr>
        <w:tblPrEx>
          <w:tblCellMar>
            <w:top w:w="0" w:type="dxa"/>
            <w:left w:w="108" w:type="dxa"/>
            <w:bottom w:w="0" w:type="dxa"/>
            <w:right w:w="108" w:type="dxa"/>
          </w:tblCellMar>
        </w:tblPrEx>
        <w:trPr>
          <w:trHeight w:val="270" w:hRule="atLeast"/>
          <w:jc w:val="center"/>
        </w:trPr>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
              </w:rPr>
            </w:pPr>
            <w:r>
              <w:rPr>
                <w:rFonts w:hint="eastAsia" w:ascii="仿宋" w:hAnsi="仿宋" w:eastAsia="仿宋"/>
                <w:b/>
              </w:rPr>
              <w:t>序号</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rPr>
            </w:pPr>
            <w:r>
              <w:rPr>
                <w:rFonts w:hint="eastAsia" w:ascii="仿宋" w:hAnsi="仿宋" w:eastAsia="仿宋"/>
                <w:b/>
              </w:rPr>
              <w:t>证券代码</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rPr>
            </w:pPr>
            <w:r>
              <w:rPr>
                <w:rFonts w:hint="eastAsia" w:ascii="仿宋" w:hAnsi="仿宋" w:eastAsia="仿宋"/>
                <w:b/>
              </w:rPr>
              <w:t>证券名称</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rPr>
            </w:pPr>
            <w:r>
              <w:rPr>
                <w:rFonts w:hint="eastAsia" w:ascii="仿宋" w:hAnsi="仿宋" w:eastAsia="仿宋"/>
                <w:b/>
              </w:rPr>
              <w:t>最新披露</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rPr>
            </w:pPr>
            <w:r>
              <w:rPr>
                <w:rFonts w:hint="eastAsia" w:ascii="仿宋" w:hAnsi="仿宋" w:eastAsia="仿宋"/>
                <w:b/>
              </w:rPr>
              <w:t>首次披露</w:t>
            </w:r>
          </w:p>
        </w:tc>
        <w:tc>
          <w:tcPr>
            <w:tcW w:w="13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rPr>
            </w:pPr>
            <w:r>
              <w:rPr>
                <w:rFonts w:hint="eastAsia" w:ascii="仿宋" w:hAnsi="仿宋" w:eastAsia="仿宋"/>
                <w:b/>
              </w:rPr>
              <w:t>参与方角色</w:t>
            </w:r>
          </w:p>
        </w:tc>
        <w:tc>
          <w:tcPr>
            <w:tcW w:w="161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rPr>
            </w:pPr>
            <w:r>
              <w:rPr>
                <w:rFonts w:hint="eastAsia" w:ascii="仿宋" w:hAnsi="仿宋" w:eastAsia="仿宋"/>
                <w:b/>
              </w:rPr>
              <w:t>重组进度</w:t>
            </w:r>
          </w:p>
        </w:tc>
        <w:tc>
          <w:tcPr>
            <w:tcW w:w="2118"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rPr>
            </w:pPr>
            <w:r>
              <w:rPr>
                <w:rFonts w:hint="eastAsia" w:ascii="仿宋" w:hAnsi="仿宋" w:eastAsia="仿宋"/>
                <w:b/>
              </w:rPr>
              <w:t>重组事件</w:t>
            </w:r>
          </w:p>
        </w:tc>
      </w:tr>
      <w:tr>
        <w:tblPrEx>
          <w:tblCellMar>
            <w:top w:w="0" w:type="dxa"/>
            <w:left w:w="108" w:type="dxa"/>
            <w:bottom w:w="0" w:type="dxa"/>
            <w:right w:w="108" w:type="dxa"/>
          </w:tblCellMar>
        </w:tblPrEx>
        <w:trPr>
          <w:trHeight w:val="27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601038.SH</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一拖股份</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2023-12-27</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2023-12-27</w:t>
            </w:r>
          </w:p>
        </w:tc>
        <w:tc>
          <w:tcPr>
            <w:tcW w:w="13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出让方</w:t>
            </w:r>
          </w:p>
        </w:tc>
        <w:tc>
          <w:tcPr>
            <w:tcW w:w="161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董事会预案</w:t>
            </w:r>
          </w:p>
        </w:tc>
        <w:tc>
          <w:tcPr>
            <w:tcW w:w="2118"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一拖股份出售中原银行0.8827%股权。</w:t>
            </w:r>
          </w:p>
        </w:tc>
      </w:tr>
      <w:tr>
        <w:tblPrEx>
          <w:tblCellMar>
            <w:top w:w="0" w:type="dxa"/>
            <w:left w:w="108" w:type="dxa"/>
            <w:bottom w:w="0" w:type="dxa"/>
            <w:right w:w="108" w:type="dxa"/>
          </w:tblCellMar>
        </w:tblPrEx>
        <w:trPr>
          <w:trHeight w:val="27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2</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300701.SZ</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森霸传感</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2023-12-19</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2023-05-23</w:t>
            </w:r>
          </w:p>
        </w:tc>
        <w:tc>
          <w:tcPr>
            <w:tcW w:w="13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竞买方</w:t>
            </w:r>
          </w:p>
        </w:tc>
        <w:tc>
          <w:tcPr>
            <w:tcW w:w="161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过户</w:t>
            </w:r>
          </w:p>
        </w:tc>
        <w:tc>
          <w:tcPr>
            <w:tcW w:w="2118"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森霸传感收购格林通67%股权。</w:t>
            </w:r>
          </w:p>
        </w:tc>
      </w:tr>
      <w:tr>
        <w:tblPrEx>
          <w:tblCellMar>
            <w:top w:w="0" w:type="dxa"/>
            <w:left w:w="108" w:type="dxa"/>
            <w:bottom w:w="0" w:type="dxa"/>
            <w:right w:w="108" w:type="dxa"/>
          </w:tblCellMar>
        </w:tblPrEx>
        <w:trPr>
          <w:trHeight w:val="27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601677.SH</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明泰铝业</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2023-12-01</w:t>
            </w:r>
          </w:p>
        </w:tc>
        <w:tc>
          <w:tcPr>
            <w:tcW w:w="1276"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2021-09-28</w:t>
            </w:r>
          </w:p>
        </w:tc>
        <w:tc>
          <w:tcPr>
            <w:tcW w:w="13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出让方</w:t>
            </w:r>
          </w:p>
        </w:tc>
        <w:tc>
          <w:tcPr>
            <w:tcW w:w="161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失败</w:t>
            </w:r>
          </w:p>
        </w:tc>
        <w:tc>
          <w:tcPr>
            <w:tcW w:w="2118"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福达合金定增收购三门峡铝业100%股权。</w:t>
            </w:r>
          </w:p>
        </w:tc>
      </w:tr>
    </w:tbl>
    <w:p>
      <w:pPr>
        <w:spacing w:before="156" w:beforeLines="50" w:after="120"/>
        <w:ind w:firstLine="562" w:firstLineChars="200"/>
        <w:rPr>
          <w:rFonts w:ascii="仿宋" w:hAnsi="仿宋" w:eastAsia="仿宋"/>
          <w:b/>
          <w:sz w:val="28"/>
          <w:szCs w:val="30"/>
        </w:rPr>
      </w:pPr>
      <w:r>
        <w:rPr>
          <w:rFonts w:ascii="仿宋" w:hAnsi="仿宋" w:eastAsia="仿宋"/>
          <w:b/>
          <w:sz w:val="28"/>
          <w:szCs w:val="30"/>
        </w:rPr>
        <w:t>3.业绩与分红</w:t>
      </w:r>
    </w:p>
    <w:p>
      <w:pPr>
        <w:spacing w:before="312" w:beforeLines="100" w:after="156" w:afterLines="50"/>
        <w:ind w:firstLine="560" w:firstLineChars="200"/>
        <w:rPr>
          <w:rFonts w:ascii="仿宋" w:hAnsi="仿宋" w:eastAsia="仿宋"/>
          <w:sz w:val="28"/>
        </w:rPr>
      </w:pPr>
      <w:r>
        <w:rPr>
          <w:rFonts w:hint="eastAsia" w:ascii="仿宋" w:hAnsi="仿宋" w:eastAsia="仿宋"/>
          <w:sz w:val="28"/>
        </w:rPr>
        <w:t>本月辖区内无披露业绩预告/快报；无分红派息事项。</w:t>
      </w:r>
    </w:p>
    <w:p>
      <w:pPr>
        <w:spacing w:after="120"/>
        <w:ind w:firstLine="562" w:firstLineChars="200"/>
        <w:rPr>
          <w:rFonts w:ascii="仿宋" w:hAnsi="仿宋" w:eastAsia="仿宋"/>
          <w:b/>
          <w:sz w:val="28"/>
          <w:szCs w:val="28"/>
        </w:rPr>
      </w:pPr>
      <w:r>
        <w:rPr>
          <w:rFonts w:ascii="仿宋" w:hAnsi="仿宋" w:eastAsia="仿宋"/>
          <w:b/>
          <w:sz w:val="28"/>
          <w:szCs w:val="28"/>
        </w:rPr>
        <w:t>4.增持与减持</w:t>
      </w:r>
    </w:p>
    <w:p>
      <w:pPr>
        <w:spacing w:before="156" w:beforeLines="50" w:after="156" w:afterLines="50"/>
        <w:ind w:firstLine="482" w:firstLineChars="200"/>
        <w:jc w:val="center"/>
        <w:rPr>
          <w:rFonts w:ascii="仿宋" w:hAnsi="仿宋" w:eastAsia="仿宋"/>
          <w:b/>
          <w:sz w:val="24"/>
          <w:szCs w:val="30"/>
        </w:rPr>
      </w:pPr>
      <w:r>
        <w:rPr>
          <w:rFonts w:ascii="仿宋" w:hAnsi="仿宋" w:eastAsia="仿宋"/>
          <w:b/>
          <w:sz w:val="24"/>
          <w:szCs w:val="30"/>
        </w:rPr>
        <w:t>表6　股东增/减持公司股票事项</w:t>
      </w:r>
    </w:p>
    <w:tbl>
      <w:tblPr>
        <w:tblStyle w:val="9"/>
        <w:tblW w:w="9747" w:type="dxa"/>
        <w:jc w:val="center"/>
        <w:tblLayout w:type="fixed"/>
        <w:tblCellMar>
          <w:top w:w="0" w:type="dxa"/>
          <w:left w:w="108" w:type="dxa"/>
          <w:bottom w:w="0" w:type="dxa"/>
          <w:right w:w="108" w:type="dxa"/>
        </w:tblCellMar>
      </w:tblPr>
      <w:tblGrid>
        <w:gridCol w:w="796"/>
        <w:gridCol w:w="1266"/>
        <w:gridCol w:w="1281"/>
        <w:gridCol w:w="1134"/>
        <w:gridCol w:w="1559"/>
        <w:gridCol w:w="3711"/>
      </w:tblGrid>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
                <w:szCs w:val="21"/>
              </w:rPr>
            </w:pPr>
            <w:r>
              <w:rPr>
                <w:rFonts w:hint="eastAsia" w:ascii="仿宋" w:hAnsi="仿宋" w:eastAsia="仿宋"/>
                <w:b/>
                <w:szCs w:val="21"/>
              </w:rPr>
              <w:t>序号</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发生日期</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证券代码</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证券名称</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事件类型</w:t>
            </w:r>
          </w:p>
        </w:tc>
        <w:tc>
          <w:tcPr>
            <w:tcW w:w="371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事件摘要</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1</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2023-12-18</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600020.SH</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中原高速</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股东增持股票</w:t>
            </w:r>
          </w:p>
        </w:tc>
        <w:tc>
          <w:tcPr>
            <w:tcW w:w="3711"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2023-12-08至2023-12-18，长城人寿保险股份有限公司增持2247.39万股公司股份。截止2023-12-20，持有股份数量为1.8亿股流通股份，占流通股份总数比例为8%。</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2</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2023-12-12</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300080.SZ</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易成新能</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股东增持股票</w:t>
            </w:r>
          </w:p>
        </w:tc>
        <w:tc>
          <w:tcPr>
            <w:tcW w:w="3711"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2023-09-12至2023-12-12，周云辉增持2万股公司股份。截止2023-12-13，持有股份数量为2万股，占流通股份总数比例为0%。 2023-09-12至2023-12-12，宋红伟增持2万股公司股份。截止2023-12-13，持有股份数量为2万股，占流通股份总数比例为0%。</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3</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2023-12-07</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600020.SH</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中原高速</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股东增持股票</w:t>
            </w:r>
          </w:p>
        </w:tc>
        <w:tc>
          <w:tcPr>
            <w:tcW w:w="3711"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2023-11-16至2023-12-07，长城人寿保险股份有限公司增持2247.38万股公司股份。截止2023-12-08，持有股份数量为1.57亿股流通股份，占流通股份总数比例为7%。</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4</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2023-12-07</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600817.SH</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宇通重工</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股东增持股票</w:t>
            </w:r>
          </w:p>
        </w:tc>
        <w:tc>
          <w:tcPr>
            <w:tcW w:w="3711"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戴领梅先生基于对公司未来发展前景的信心和股票长期投资价值的认可，于2023年11月8日至2023年12月7日期间通过集中竞价方式增持公司股份4,543,564股，占公司总股本的0.84%，增持金额为人民币4,350.54万元。</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5</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2023-12-18</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301207.SZ</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华兰疫苗</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股东减持股票</w:t>
            </w:r>
          </w:p>
        </w:tc>
        <w:tc>
          <w:tcPr>
            <w:tcW w:w="3711"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2023-10-09至2023-12-18，河南骅盈企业管理咨询合伙企业(有限合伙)减持599.92万股公司股份。截止2023-12-21，持有股份数量为2400.15万股，占流通股份总数比例为17.02%。</w:t>
            </w:r>
          </w:p>
        </w:tc>
      </w:tr>
      <w:tr>
        <w:tblPrEx>
          <w:tblCellMar>
            <w:top w:w="0" w:type="dxa"/>
            <w:left w:w="108" w:type="dxa"/>
            <w:bottom w:w="0" w:type="dxa"/>
            <w:right w:w="108" w:type="dxa"/>
          </w:tblCellMar>
        </w:tblPrEx>
        <w:trPr>
          <w:trHeight w:val="270"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6</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2023-11-28</w:t>
            </w:r>
          </w:p>
        </w:tc>
        <w:tc>
          <w:tcPr>
            <w:tcW w:w="1281"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831087.BJ</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秋乐种业</w:t>
            </w:r>
          </w:p>
        </w:tc>
        <w:tc>
          <w:tcPr>
            <w:tcW w:w="1559"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股东减持股票</w:t>
            </w:r>
          </w:p>
        </w:tc>
        <w:tc>
          <w:tcPr>
            <w:tcW w:w="3711"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2023-11-09至2023-11-28，河南农投乡村振兴投资有限公司减持50万股公司股份，平均减持价格为7.3729CNY</w:t>
            </w:r>
          </w:p>
        </w:tc>
      </w:tr>
    </w:tbl>
    <w:p>
      <w:pPr>
        <w:spacing w:after="156" w:afterLines="50"/>
        <w:ind w:firstLine="562" w:firstLineChars="200"/>
        <w:rPr>
          <w:rFonts w:ascii="仿宋" w:hAnsi="仿宋" w:eastAsia="仿宋"/>
          <w:b/>
          <w:sz w:val="28"/>
          <w:szCs w:val="28"/>
        </w:rPr>
      </w:pPr>
      <w:r>
        <w:rPr>
          <w:rFonts w:ascii="仿宋" w:hAnsi="仿宋" w:eastAsia="仿宋"/>
          <w:b/>
          <w:sz w:val="28"/>
          <w:szCs w:val="28"/>
        </w:rPr>
        <w:t>5.其他重大事项</w:t>
      </w:r>
    </w:p>
    <w:p>
      <w:pPr>
        <w:spacing w:before="156" w:beforeLines="50" w:after="156" w:afterLines="50"/>
        <w:jc w:val="center"/>
        <w:rPr>
          <w:rFonts w:ascii="仿宋" w:hAnsi="仿宋" w:eastAsia="仿宋"/>
          <w:b/>
          <w:sz w:val="24"/>
          <w:szCs w:val="30"/>
        </w:rPr>
      </w:pPr>
      <w:r>
        <w:rPr>
          <w:rFonts w:ascii="仿宋" w:hAnsi="仿宋" w:eastAsia="仿宋"/>
          <w:b/>
          <w:sz w:val="24"/>
          <w:szCs w:val="30"/>
        </w:rPr>
        <w:t>表7　12月董事长、董秘变动情况</w:t>
      </w:r>
    </w:p>
    <w:tbl>
      <w:tblPr>
        <w:tblStyle w:val="10"/>
        <w:tblW w:w="8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701"/>
        <w:gridCol w:w="1276"/>
        <w:gridCol w:w="1134"/>
        <w:gridCol w:w="3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tcPr>
          <w:p>
            <w:pPr>
              <w:jc w:val="center"/>
              <w:rPr>
                <w:rFonts w:ascii="仿宋" w:hAnsi="仿宋" w:eastAsia="仿宋"/>
                <w:b/>
                <w:szCs w:val="21"/>
              </w:rPr>
            </w:pPr>
            <w:r>
              <w:rPr>
                <w:rFonts w:hint="eastAsia" w:ascii="仿宋" w:hAnsi="仿宋" w:eastAsia="仿宋"/>
                <w:b/>
                <w:szCs w:val="21"/>
              </w:rPr>
              <w:t>序号</w:t>
            </w:r>
          </w:p>
        </w:tc>
        <w:tc>
          <w:tcPr>
            <w:tcW w:w="1701" w:type="dxa"/>
          </w:tcPr>
          <w:p>
            <w:pPr>
              <w:jc w:val="center"/>
              <w:rPr>
                <w:rFonts w:ascii="仿宋" w:hAnsi="仿宋" w:eastAsia="仿宋"/>
                <w:b/>
                <w:szCs w:val="21"/>
              </w:rPr>
            </w:pPr>
            <w:r>
              <w:rPr>
                <w:rFonts w:hint="eastAsia" w:ascii="仿宋" w:hAnsi="仿宋" w:eastAsia="仿宋"/>
                <w:b/>
                <w:szCs w:val="21"/>
              </w:rPr>
              <w:t>披露日期</w:t>
            </w:r>
          </w:p>
        </w:tc>
        <w:tc>
          <w:tcPr>
            <w:tcW w:w="1276" w:type="dxa"/>
          </w:tcPr>
          <w:p>
            <w:pPr>
              <w:jc w:val="center"/>
              <w:rPr>
                <w:rFonts w:ascii="仿宋" w:hAnsi="仿宋" w:eastAsia="仿宋"/>
                <w:b/>
                <w:szCs w:val="21"/>
              </w:rPr>
            </w:pPr>
            <w:r>
              <w:rPr>
                <w:rFonts w:hint="eastAsia" w:ascii="仿宋" w:hAnsi="仿宋" w:eastAsia="仿宋"/>
                <w:b/>
                <w:szCs w:val="21"/>
              </w:rPr>
              <w:t>证券代码</w:t>
            </w:r>
          </w:p>
        </w:tc>
        <w:tc>
          <w:tcPr>
            <w:tcW w:w="1134" w:type="dxa"/>
          </w:tcPr>
          <w:p>
            <w:pPr>
              <w:jc w:val="center"/>
              <w:rPr>
                <w:rFonts w:ascii="仿宋" w:hAnsi="仿宋" w:eastAsia="仿宋"/>
                <w:b/>
                <w:szCs w:val="21"/>
              </w:rPr>
            </w:pPr>
            <w:r>
              <w:rPr>
                <w:rFonts w:hint="eastAsia" w:ascii="仿宋" w:hAnsi="仿宋" w:eastAsia="仿宋"/>
                <w:b/>
                <w:szCs w:val="21"/>
              </w:rPr>
              <w:t>证券名称</w:t>
            </w:r>
          </w:p>
        </w:tc>
        <w:tc>
          <w:tcPr>
            <w:tcW w:w="3723" w:type="dxa"/>
          </w:tcPr>
          <w:p>
            <w:pPr>
              <w:jc w:val="center"/>
              <w:rPr>
                <w:rFonts w:ascii="仿宋" w:hAnsi="仿宋" w:eastAsia="仿宋"/>
                <w:b/>
                <w:szCs w:val="21"/>
              </w:rPr>
            </w:pPr>
            <w:r>
              <w:rPr>
                <w:rFonts w:hint="eastAsia" w:ascii="仿宋" w:hAnsi="仿宋" w:eastAsia="仿宋"/>
                <w:b/>
                <w:szCs w:val="21"/>
              </w:rPr>
              <w:t>事件摘要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vMerge w:val="restart"/>
            <w:vAlign w:val="center"/>
          </w:tcPr>
          <w:p>
            <w:pPr>
              <w:jc w:val="center"/>
              <w:rPr>
                <w:rFonts w:ascii="仿宋" w:hAnsi="仿宋" w:eastAsia="仿宋"/>
                <w:szCs w:val="21"/>
              </w:rPr>
            </w:pPr>
            <w:r>
              <w:rPr>
                <w:rFonts w:hint="eastAsia" w:ascii="仿宋" w:hAnsi="仿宋" w:eastAsia="仿宋"/>
                <w:szCs w:val="21"/>
              </w:rPr>
              <w:t>1</w:t>
            </w:r>
          </w:p>
        </w:tc>
        <w:tc>
          <w:tcPr>
            <w:tcW w:w="1701" w:type="dxa"/>
            <w:vAlign w:val="center"/>
          </w:tcPr>
          <w:p>
            <w:pPr>
              <w:jc w:val="center"/>
              <w:rPr>
                <w:rFonts w:ascii="仿宋" w:hAnsi="仿宋" w:eastAsia="仿宋"/>
                <w:szCs w:val="21"/>
              </w:rPr>
            </w:pPr>
            <w:r>
              <w:rPr>
                <w:rFonts w:hint="eastAsia" w:ascii="仿宋" w:hAnsi="仿宋" w:eastAsia="仿宋"/>
                <w:szCs w:val="21"/>
              </w:rPr>
              <w:t>2023-12-27</w:t>
            </w:r>
          </w:p>
        </w:tc>
        <w:tc>
          <w:tcPr>
            <w:tcW w:w="1276" w:type="dxa"/>
            <w:vAlign w:val="center"/>
          </w:tcPr>
          <w:p>
            <w:pPr>
              <w:jc w:val="center"/>
              <w:rPr>
                <w:rFonts w:ascii="仿宋" w:hAnsi="仿宋" w:eastAsia="仿宋"/>
                <w:szCs w:val="21"/>
              </w:rPr>
            </w:pPr>
            <w:r>
              <w:rPr>
                <w:rFonts w:hint="eastAsia" w:ascii="仿宋" w:hAnsi="仿宋" w:eastAsia="仿宋"/>
                <w:szCs w:val="21"/>
              </w:rPr>
              <w:t>600186.SH</w:t>
            </w:r>
          </w:p>
        </w:tc>
        <w:tc>
          <w:tcPr>
            <w:tcW w:w="1134" w:type="dxa"/>
            <w:vAlign w:val="center"/>
          </w:tcPr>
          <w:p>
            <w:pPr>
              <w:jc w:val="center"/>
              <w:rPr>
                <w:rFonts w:ascii="仿宋" w:hAnsi="仿宋" w:eastAsia="仿宋"/>
                <w:szCs w:val="21"/>
              </w:rPr>
            </w:pPr>
            <w:r>
              <w:rPr>
                <w:rFonts w:hint="eastAsia" w:ascii="仿宋" w:hAnsi="仿宋" w:eastAsia="仿宋"/>
                <w:szCs w:val="21"/>
              </w:rPr>
              <w:t>莲花健康</w:t>
            </w:r>
          </w:p>
        </w:tc>
        <w:tc>
          <w:tcPr>
            <w:tcW w:w="3723" w:type="dxa"/>
            <w:vAlign w:val="center"/>
          </w:tcPr>
          <w:p>
            <w:pPr>
              <w:jc w:val="center"/>
              <w:rPr>
                <w:rFonts w:ascii="仿宋" w:hAnsi="仿宋" w:eastAsia="仿宋"/>
                <w:szCs w:val="21"/>
              </w:rPr>
            </w:pPr>
            <w:r>
              <w:rPr>
                <w:rFonts w:hint="eastAsia" w:ascii="仿宋" w:hAnsi="仿宋" w:eastAsia="仿宋"/>
                <w:szCs w:val="21"/>
              </w:rPr>
              <w:t>新聘代董事会秘书李厚文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vMerge w:val="continue"/>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r>
              <w:rPr>
                <w:rFonts w:hint="eastAsia" w:ascii="仿宋" w:hAnsi="仿宋" w:eastAsia="仿宋"/>
                <w:szCs w:val="21"/>
              </w:rPr>
              <w:t>2023-12-27</w:t>
            </w:r>
          </w:p>
        </w:tc>
        <w:tc>
          <w:tcPr>
            <w:tcW w:w="1276" w:type="dxa"/>
            <w:vAlign w:val="center"/>
          </w:tcPr>
          <w:p>
            <w:pPr>
              <w:jc w:val="center"/>
              <w:rPr>
                <w:rFonts w:ascii="仿宋" w:hAnsi="仿宋" w:eastAsia="仿宋"/>
                <w:szCs w:val="21"/>
              </w:rPr>
            </w:pPr>
            <w:r>
              <w:rPr>
                <w:rFonts w:hint="eastAsia" w:ascii="仿宋" w:hAnsi="仿宋" w:eastAsia="仿宋"/>
                <w:szCs w:val="21"/>
              </w:rPr>
              <w:t>600186.SH</w:t>
            </w:r>
          </w:p>
        </w:tc>
        <w:tc>
          <w:tcPr>
            <w:tcW w:w="1134" w:type="dxa"/>
            <w:vAlign w:val="center"/>
          </w:tcPr>
          <w:p>
            <w:pPr>
              <w:jc w:val="center"/>
              <w:rPr>
                <w:rFonts w:ascii="仿宋" w:hAnsi="仿宋" w:eastAsia="仿宋"/>
                <w:szCs w:val="21"/>
              </w:rPr>
            </w:pPr>
            <w:r>
              <w:rPr>
                <w:rFonts w:hint="eastAsia" w:ascii="仿宋" w:hAnsi="仿宋" w:eastAsia="仿宋"/>
                <w:szCs w:val="21"/>
              </w:rPr>
              <w:t>莲花健康</w:t>
            </w:r>
          </w:p>
        </w:tc>
        <w:tc>
          <w:tcPr>
            <w:tcW w:w="3723" w:type="dxa"/>
            <w:vAlign w:val="center"/>
          </w:tcPr>
          <w:p>
            <w:pPr>
              <w:jc w:val="center"/>
              <w:rPr>
                <w:rFonts w:ascii="仿宋" w:hAnsi="仿宋" w:eastAsia="仿宋"/>
                <w:szCs w:val="21"/>
              </w:rPr>
            </w:pPr>
            <w:r>
              <w:rPr>
                <w:rFonts w:hint="eastAsia" w:ascii="仿宋" w:hAnsi="仿宋" w:eastAsia="仿宋"/>
                <w:szCs w:val="21"/>
              </w:rPr>
              <w:t>董事会秘书曹家胜离任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vMerge w:val="restart"/>
            <w:vAlign w:val="center"/>
          </w:tcPr>
          <w:p>
            <w:pPr>
              <w:jc w:val="center"/>
              <w:rPr>
                <w:rFonts w:ascii="仿宋" w:hAnsi="仿宋" w:eastAsia="仿宋"/>
                <w:szCs w:val="21"/>
              </w:rPr>
            </w:pPr>
            <w:r>
              <w:rPr>
                <w:rFonts w:hint="eastAsia" w:ascii="仿宋" w:hAnsi="仿宋" w:eastAsia="仿宋"/>
                <w:szCs w:val="21"/>
              </w:rPr>
              <w:t>2</w:t>
            </w:r>
          </w:p>
        </w:tc>
        <w:tc>
          <w:tcPr>
            <w:tcW w:w="1701" w:type="dxa"/>
            <w:vAlign w:val="center"/>
          </w:tcPr>
          <w:p>
            <w:pPr>
              <w:jc w:val="center"/>
              <w:rPr>
                <w:rFonts w:ascii="仿宋" w:hAnsi="仿宋" w:eastAsia="仿宋"/>
                <w:szCs w:val="21"/>
              </w:rPr>
            </w:pPr>
            <w:r>
              <w:rPr>
                <w:rFonts w:hint="eastAsia" w:ascii="仿宋" w:hAnsi="仿宋" w:eastAsia="仿宋"/>
                <w:szCs w:val="21"/>
              </w:rPr>
              <w:t>2023-12-26</w:t>
            </w:r>
          </w:p>
        </w:tc>
        <w:tc>
          <w:tcPr>
            <w:tcW w:w="1276" w:type="dxa"/>
            <w:vAlign w:val="center"/>
          </w:tcPr>
          <w:p>
            <w:pPr>
              <w:jc w:val="center"/>
              <w:rPr>
                <w:rFonts w:ascii="仿宋" w:hAnsi="仿宋" w:eastAsia="仿宋"/>
                <w:szCs w:val="21"/>
              </w:rPr>
            </w:pPr>
            <w:r>
              <w:rPr>
                <w:rFonts w:hint="eastAsia" w:ascii="仿宋" w:hAnsi="仿宋" w:eastAsia="仿宋"/>
                <w:szCs w:val="21"/>
              </w:rPr>
              <w:t>002535.SZ</w:t>
            </w:r>
          </w:p>
        </w:tc>
        <w:tc>
          <w:tcPr>
            <w:tcW w:w="1134" w:type="dxa"/>
            <w:vAlign w:val="center"/>
          </w:tcPr>
          <w:p>
            <w:pPr>
              <w:jc w:val="center"/>
              <w:rPr>
                <w:rFonts w:ascii="仿宋" w:hAnsi="仿宋" w:eastAsia="仿宋"/>
                <w:szCs w:val="21"/>
              </w:rPr>
            </w:pPr>
            <w:r>
              <w:rPr>
                <w:rFonts w:hint="eastAsia" w:ascii="仿宋" w:hAnsi="仿宋" w:eastAsia="仿宋"/>
                <w:szCs w:val="21"/>
              </w:rPr>
              <w:t>林州重机</w:t>
            </w:r>
          </w:p>
        </w:tc>
        <w:tc>
          <w:tcPr>
            <w:tcW w:w="3723" w:type="dxa"/>
            <w:vAlign w:val="center"/>
          </w:tcPr>
          <w:p>
            <w:pPr>
              <w:jc w:val="center"/>
              <w:rPr>
                <w:rFonts w:ascii="仿宋" w:hAnsi="仿宋" w:eastAsia="仿宋"/>
                <w:szCs w:val="21"/>
              </w:rPr>
            </w:pPr>
            <w:r>
              <w:rPr>
                <w:rFonts w:hint="eastAsia" w:ascii="仿宋" w:hAnsi="仿宋" w:eastAsia="仿宋"/>
                <w:szCs w:val="21"/>
              </w:rPr>
              <w:t>代董事会秘书韩录云离任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vMerge w:val="continue"/>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r>
              <w:rPr>
                <w:rFonts w:hint="eastAsia" w:ascii="仿宋" w:hAnsi="仿宋" w:eastAsia="仿宋"/>
                <w:szCs w:val="21"/>
              </w:rPr>
              <w:t>2023-12-26</w:t>
            </w:r>
          </w:p>
        </w:tc>
        <w:tc>
          <w:tcPr>
            <w:tcW w:w="1276" w:type="dxa"/>
            <w:vAlign w:val="center"/>
          </w:tcPr>
          <w:p>
            <w:pPr>
              <w:jc w:val="center"/>
              <w:rPr>
                <w:rFonts w:ascii="仿宋" w:hAnsi="仿宋" w:eastAsia="仿宋"/>
                <w:szCs w:val="21"/>
              </w:rPr>
            </w:pPr>
            <w:r>
              <w:rPr>
                <w:rFonts w:hint="eastAsia" w:ascii="仿宋" w:hAnsi="仿宋" w:eastAsia="仿宋"/>
                <w:szCs w:val="21"/>
              </w:rPr>
              <w:t>002535.SZ</w:t>
            </w:r>
          </w:p>
        </w:tc>
        <w:tc>
          <w:tcPr>
            <w:tcW w:w="1134" w:type="dxa"/>
            <w:vAlign w:val="center"/>
          </w:tcPr>
          <w:p>
            <w:pPr>
              <w:jc w:val="center"/>
              <w:rPr>
                <w:rFonts w:ascii="仿宋" w:hAnsi="仿宋" w:eastAsia="仿宋"/>
                <w:szCs w:val="21"/>
              </w:rPr>
            </w:pPr>
            <w:r>
              <w:rPr>
                <w:rFonts w:hint="eastAsia" w:ascii="仿宋" w:hAnsi="仿宋" w:eastAsia="仿宋"/>
                <w:szCs w:val="21"/>
              </w:rPr>
              <w:t>林州重机</w:t>
            </w:r>
          </w:p>
        </w:tc>
        <w:tc>
          <w:tcPr>
            <w:tcW w:w="3723" w:type="dxa"/>
            <w:vAlign w:val="center"/>
          </w:tcPr>
          <w:p>
            <w:pPr>
              <w:jc w:val="center"/>
              <w:rPr>
                <w:rFonts w:ascii="仿宋" w:hAnsi="仿宋" w:eastAsia="仿宋"/>
                <w:szCs w:val="21"/>
              </w:rPr>
            </w:pPr>
            <w:r>
              <w:rPr>
                <w:rFonts w:hint="eastAsia" w:ascii="仿宋" w:hAnsi="仿宋" w:eastAsia="仿宋"/>
                <w:szCs w:val="21"/>
              </w:rPr>
              <w:t>新聘董事会秘书郭清正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vAlign w:val="center"/>
          </w:tcPr>
          <w:p>
            <w:pPr>
              <w:jc w:val="center"/>
              <w:rPr>
                <w:rFonts w:ascii="仿宋" w:hAnsi="仿宋" w:eastAsia="仿宋"/>
                <w:szCs w:val="21"/>
              </w:rPr>
            </w:pPr>
            <w:r>
              <w:rPr>
                <w:rFonts w:hint="eastAsia" w:ascii="仿宋" w:hAnsi="仿宋" w:eastAsia="仿宋"/>
                <w:szCs w:val="21"/>
              </w:rPr>
              <w:t>3</w:t>
            </w:r>
          </w:p>
        </w:tc>
        <w:tc>
          <w:tcPr>
            <w:tcW w:w="1701" w:type="dxa"/>
            <w:vAlign w:val="center"/>
          </w:tcPr>
          <w:p>
            <w:pPr>
              <w:jc w:val="center"/>
              <w:rPr>
                <w:rFonts w:ascii="仿宋" w:hAnsi="仿宋" w:eastAsia="仿宋"/>
                <w:szCs w:val="21"/>
              </w:rPr>
            </w:pPr>
            <w:r>
              <w:rPr>
                <w:rFonts w:hint="eastAsia" w:ascii="仿宋" w:hAnsi="仿宋" w:eastAsia="仿宋"/>
                <w:szCs w:val="21"/>
              </w:rPr>
              <w:t>2023-12-22</w:t>
            </w:r>
          </w:p>
        </w:tc>
        <w:tc>
          <w:tcPr>
            <w:tcW w:w="1276" w:type="dxa"/>
            <w:vAlign w:val="center"/>
          </w:tcPr>
          <w:p>
            <w:pPr>
              <w:jc w:val="center"/>
              <w:rPr>
                <w:rFonts w:ascii="仿宋" w:hAnsi="仿宋" w:eastAsia="仿宋"/>
                <w:szCs w:val="21"/>
              </w:rPr>
            </w:pPr>
            <w:r>
              <w:rPr>
                <w:rFonts w:hint="eastAsia" w:ascii="仿宋" w:hAnsi="仿宋" w:eastAsia="仿宋"/>
                <w:szCs w:val="21"/>
              </w:rPr>
              <w:t>600569.SH</w:t>
            </w:r>
          </w:p>
        </w:tc>
        <w:tc>
          <w:tcPr>
            <w:tcW w:w="1134" w:type="dxa"/>
            <w:vAlign w:val="center"/>
          </w:tcPr>
          <w:p>
            <w:pPr>
              <w:jc w:val="center"/>
              <w:rPr>
                <w:rFonts w:ascii="仿宋" w:hAnsi="仿宋" w:eastAsia="仿宋"/>
                <w:szCs w:val="21"/>
              </w:rPr>
            </w:pPr>
            <w:r>
              <w:rPr>
                <w:rFonts w:hint="eastAsia" w:ascii="仿宋" w:hAnsi="仿宋" w:eastAsia="仿宋"/>
                <w:szCs w:val="21"/>
              </w:rPr>
              <w:t>安阳钢铁</w:t>
            </w:r>
          </w:p>
        </w:tc>
        <w:tc>
          <w:tcPr>
            <w:tcW w:w="3723" w:type="dxa"/>
            <w:vAlign w:val="center"/>
          </w:tcPr>
          <w:p>
            <w:pPr>
              <w:jc w:val="center"/>
              <w:rPr>
                <w:rFonts w:ascii="仿宋" w:hAnsi="仿宋" w:eastAsia="仿宋"/>
                <w:szCs w:val="21"/>
              </w:rPr>
            </w:pPr>
            <w:r>
              <w:rPr>
                <w:rFonts w:hint="eastAsia" w:ascii="仿宋" w:hAnsi="仿宋" w:eastAsia="仿宋"/>
                <w:szCs w:val="21"/>
              </w:rPr>
              <w:t>董事会秘书郭成许离任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vAlign w:val="center"/>
          </w:tcPr>
          <w:p>
            <w:pPr>
              <w:jc w:val="center"/>
              <w:rPr>
                <w:rFonts w:ascii="仿宋" w:hAnsi="仿宋" w:eastAsia="仿宋"/>
                <w:szCs w:val="21"/>
              </w:rPr>
            </w:pPr>
            <w:r>
              <w:rPr>
                <w:rFonts w:hint="eastAsia" w:ascii="仿宋" w:hAnsi="仿宋" w:eastAsia="仿宋"/>
                <w:szCs w:val="21"/>
              </w:rPr>
              <w:t>4</w:t>
            </w:r>
          </w:p>
        </w:tc>
        <w:tc>
          <w:tcPr>
            <w:tcW w:w="1701" w:type="dxa"/>
            <w:vAlign w:val="center"/>
          </w:tcPr>
          <w:p>
            <w:pPr>
              <w:jc w:val="center"/>
              <w:rPr>
                <w:rFonts w:ascii="仿宋" w:hAnsi="仿宋" w:eastAsia="仿宋"/>
                <w:szCs w:val="21"/>
              </w:rPr>
            </w:pPr>
            <w:r>
              <w:rPr>
                <w:rFonts w:hint="eastAsia" w:ascii="仿宋" w:hAnsi="仿宋" w:eastAsia="仿宋"/>
                <w:szCs w:val="21"/>
              </w:rPr>
              <w:t>2023-12-13</w:t>
            </w:r>
          </w:p>
        </w:tc>
        <w:tc>
          <w:tcPr>
            <w:tcW w:w="1276" w:type="dxa"/>
            <w:vAlign w:val="center"/>
          </w:tcPr>
          <w:p>
            <w:pPr>
              <w:jc w:val="center"/>
              <w:rPr>
                <w:rFonts w:ascii="仿宋" w:hAnsi="仿宋" w:eastAsia="仿宋"/>
                <w:szCs w:val="21"/>
              </w:rPr>
            </w:pPr>
            <w:r>
              <w:rPr>
                <w:rFonts w:hint="eastAsia" w:ascii="仿宋" w:hAnsi="仿宋" w:eastAsia="仿宋"/>
                <w:szCs w:val="21"/>
              </w:rPr>
              <w:t>839725.BJ</w:t>
            </w:r>
          </w:p>
        </w:tc>
        <w:tc>
          <w:tcPr>
            <w:tcW w:w="1134" w:type="dxa"/>
            <w:vAlign w:val="center"/>
          </w:tcPr>
          <w:p>
            <w:pPr>
              <w:jc w:val="center"/>
              <w:rPr>
                <w:rFonts w:ascii="仿宋" w:hAnsi="仿宋" w:eastAsia="仿宋"/>
                <w:szCs w:val="21"/>
              </w:rPr>
            </w:pPr>
            <w:r>
              <w:rPr>
                <w:rFonts w:hint="eastAsia" w:ascii="仿宋" w:hAnsi="仿宋" w:eastAsia="仿宋"/>
                <w:szCs w:val="21"/>
              </w:rPr>
              <w:t>惠丰钻石</w:t>
            </w:r>
          </w:p>
        </w:tc>
        <w:tc>
          <w:tcPr>
            <w:tcW w:w="3723" w:type="dxa"/>
            <w:vAlign w:val="center"/>
          </w:tcPr>
          <w:p>
            <w:pPr>
              <w:jc w:val="center"/>
              <w:rPr>
                <w:rFonts w:ascii="仿宋" w:hAnsi="仿宋" w:eastAsia="仿宋"/>
                <w:szCs w:val="21"/>
              </w:rPr>
            </w:pPr>
            <w:r>
              <w:rPr>
                <w:rFonts w:hint="eastAsia" w:ascii="仿宋" w:hAnsi="仿宋" w:eastAsia="仿宋"/>
                <w:szCs w:val="21"/>
              </w:rPr>
              <w:t>新聘董事会秘书万磊</w:t>
            </w:r>
          </w:p>
        </w:tc>
      </w:tr>
    </w:tbl>
    <w:p>
      <w:pPr>
        <w:spacing w:before="156" w:beforeLines="50" w:after="156" w:afterLines="50"/>
        <w:jc w:val="center"/>
        <w:rPr>
          <w:rFonts w:ascii="仿宋" w:hAnsi="仿宋" w:eastAsia="仿宋"/>
          <w:b/>
          <w:sz w:val="24"/>
          <w:szCs w:val="30"/>
        </w:rPr>
      </w:pPr>
      <w:r>
        <w:rPr>
          <w:rFonts w:hint="eastAsia" w:ascii="仿宋" w:hAnsi="仿宋" w:eastAsia="仿宋"/>
          <w:b/>
          <w:sz w:val="24"/>
          <w:szCs w:val="30"/>
        </w:rPr>
        <w:t>表8　重大项目情况表</w:t>
      </w:r>
    </w:p>
    <w:tbl>
      <w:tblPr>
        <w:tblStyle w:val="9"/>
        <w:tblW w:w="10765" w:type="dxa"/>
        <w:jc w:val="center"/>
        <w:tblLayout w:type="fixed"/>
        <w:tblCellMar>
          <w:top w:w="0" w:type="dxa"/>
          <w:left w:w="108" w:type="dxa"/>
          <w:bottom w:w="0" w:type="dxa"/>
          <w:right w:w="108" w:type="dxa"/>
        </w:tblCellMar>
      </w:tblPr>
      <w:tblGrid>
        <w:gridCol w:w="709"/>
        <w:gridCol w:w="1163"/>
        <w:gridCol w:w="1134"/>
        <w:gridCol w:w="1134"/>
        <w:gridCol w:w="1418"/>
        <w:gridCol w:w="5207"/>
      </w:tblGrid>
      <w:tr>
        <w:tblPrEx>
          <w:tblCellMar>
            <w:top w:w="0" w:type="dxa"/>
            <w:left w:w="108" w:type="dxa"/>
            <w:bottom w:w="0" w:type="dxa"/>
            <w:right w:w="108" w:type="dxa"/>
          </w:tblCellMar>
        </w:tblPrEx>
        <w:trPr>
          <w:trHeight w:val="270" w:hRule="atLeast"/>
          <w:jc w:val="center"/>
        </w:trPr>
        <w:tc>
          <w:tcPr>
            <w:tcW w:w="709"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b/>
                <w:szCs w:val="21"/>
              </w:rPr>
            </w:pPr>
            <w:r>
              <w:rPr>
                <w:rFonts w:hint="eastAsia" w:ascii="仿宋" w:hAnsi="仿宋" w:eastAsia="仿宋"/>
                <w:b/>
                <w:szCs w:val="21"/>
              </w:rPr>
              <w:t>序号</w:t>
            </w:r>
          </w:p>
        </w:tc>
        <w:tc>
          <w:tcPr>
            <w:tcW w:w="11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证券代码</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证券名称</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事件类型</w:t>
            </w:r>
          </w:p>
        </w:tc>
        <w:tc>
          <w:tcPr>
            <w:tcW w:w="1418"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披露日期</w:t>
            </w:r>
          </w:p>
        </w:tc>
        <w:tc>
          <w:tcPr>
            <w:tcW w:w="520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szCs w:val="21"/>
              </w:rPr>
            </w:pPr>
            <w:r>
              <w:rPr>
                <w:rFonts w:hint="eastAsia" w:ascii="仿宋" w:hAnsi="仿宋" w:eastAsia="仿宋"/>
                <w:b/>
                <w:szCs w:val="21"/>
              </w:rPr>
              <w:t>事件摘要</w:t>
            </w:r>
          </w:p>
        </w:tc>
      </w:tr>
      <w:tr>
        <w:tblPrEx>
          <w:tblCellMar>
            <w:top w:w="0" w:type="dxa"/>
            <w:left w:w="108" w:type="dxa"/>
            <w:bottom w:w="0" w:type="dxa"/>
            <w:right w:w="108" w:type="dxa"/>
          </w:tblCellMar>
        </w:tblPrEx>
        <w:trPr>
          <w:trHeight w:val="27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1</w:t>
            </w:r>
          </w:p>
        </w:tc>
        <w:tc>
          <w:tcPr>
            <w:tcW w:w="11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002431.SZ</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棕榈股份</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项目中标</w:t>
            </w:r>
          </w:p>
        </w:tc>
        <w:tc>
          <w:tcPr>
            <w:tcW w:w="1418"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szCs w:val="21"/>
              </w:rPr>
            </w:pPr>
            <w:r>
              <w:rPr>
                <w:rFonts w:hint="eastAsia" w:ascii="仿宋" w:hAnsi="仿宋" w:eastAsia="仿宋"/>
                <w:szCs w:val="21"/>
              </w:rPr>
              <w:t>2023-12-26</w:t>
            </w:r>
          </w:p>
        </w:tc>
        <w:tc>
          <w:tcPr>
            <w:tcW w:w="5207" w:type="dxa"/>
            <w:tcBorders>
              <w:top w:val="single" w:color="auto" w:sz="4" w:space="0"/>
              <w:left w:val="nil"/>
              <w:bottom w:val="single" w:color="auto" w:sz="4" w:space="0"/>
              <w:right w:val="single" w:color="auto" w:sz="4" w:space="0"/>
            </w:tcBorders>
            <w:shd w:val="clear" w:color="auto" w:fill="auto"/>
            <w:vAlign w:val="center"/>
          </w:tcPr>
          <w:p>
            <w:pPr>
              <w:rPr>
                <w:rFonts w:ascii="仿宋" w:hAnsi="仿宋" w:eastAsia="仿宋"/>
                <w:szCs w:val="21"/>
              </w:rPr>
            </w:pPr>
            <w:r>
              <w:rPr>
                <w:rFonts w:hint="eastAsia" w:ascii="仿宋" w:hAnsi="仿宋" w:eastAsia="仿宋"/>
                <w:szCs w:val="21"/>
              </w:rPr>
              <w:t>棕榈生态城镇发展股份有限公司（以下简称“公司”）于近日收到“周口市第一人民医院新院区建设项目（EPC 模式）一标段”的《中标通知书》，确认公司与中铁十七局集团有限公司、中核勘察设计研究有限公司、中国中元国际工程有限公司所组成的联合体为该项目第一标段的中标单位。</w:t>
            </w:r>
          </w:p>
        </w:tc>
      </w:tr>
    </w:tbl>
    <w:p>
      <w:pPr>
        <w:spacing w:before="156" w:beforeLines="50" w:after="156" w:afterLines="50"/>
        <w:rPr>
          <w:rFonts w:ascii="楷体" w:hAnsi="楷体" w:eastAsia="楷体" w:cs="Calibri"/>
          <w:b/>
          <w:sz w:val="28"/>
        </w:rPr>
      </w:pPr>
      <w:r>
        <w:rPr>
          <w:rFonts w:hint="eastAsia" w:ascii="仿宋" w:hAnsi="仿宋" w:eastAsia="仿宋"/>
          <w:b/>
          <w:sz w:val="28"/>
        </w:rPr>
        <w:t>六、上市公司十二月违规案例精选</w:t>
      </w:r>
    </w:p>
    <w:p>
      <w:pPr>
        <w:tabs>
          <w:tab w:val="left" w:pos="6624"/>
        </w:tabs>
        <w:spacing w:line="360" w:lineRule="auto"/>
        <w:rPr>
          <w:rFonts w:ascii="华文楷体" w:hAnsi="华文楷体" w:eastAsia="华文楷体"/>
          <w:b/>
          <w:sz w:val="28"/>
          <w:szCs w:val="28"/>
        </w:rPr>
      </w:pPr>
      <w:r>
        <w:rPr>
          <w:rFonts w:hint="eastAsia" w:ascii="仿宋" w:hAnsi="仿宋" w:eastAsia="仿宋" w:cs="仿宋"/>
          <w:b/>
          <w:color w:val="000000"/>
          <w:sz w:val="28"/>
          <w:szCs w:val="28"/>
        </w:rPr>
        <w:t>1</w:t>
      </w:r>
      <w:r>
        <w:rPr>
          <w:rFonts w:ascii="仿宋" w:hAnsi="仿宋" w:eastAsia="仿宋" w:cs="仿宋"/>
          <w:b/>
          <w:color w:val="000000"/>
          <w:sz w:val="28"/>
          <w:szCs w:val="28"/>
        </w:rPr>
        <w:t>.</w:t>
      </w:r>
      <w:r>
        <w:rPr>
          <w:rFonts w:hint="eastAsia" w:ascii="仿宋" w:hAnsi="仿宋" w:eastAsia="仿宋" w:cs="仿宋"/>
          <w:b/>
          <w:color w:val="000000"/>
          <w:sz w:val="28"/>
          <w:szCs w:val="28"/>
        </w:rPr>
        <w:t>暂时闲置募集资金补流到期记得归还！</w:t>
      </w: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【案例简介】</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2022年11月18日，创业板某上市公司董事会审议通过了《关于使用部分闲置募集资金暂时性补充流动资金的议案》，同意使用不超过人民币10,000万元的闲置募集资金暂时补充流动资金，使用期限为自该次董事会会议审议通过之日起12个月内，到期上市公司将及时归还至募集资金专项账户。根据上市公司于2023年12月1日披露的《关于归还用于暂时补充流动资金的闲置募集资金的公告》，公司未在该次董事会审议通过的期限内全额归还用于暂时补充流动资金的闲置募集资金，其中5,000万元直至2023年11月30日才归还完毕。</w:t>
      </w: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【纪律处分及监管措施】</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深圳证券交易所认为上市公司的上述行为违反了</w:t>
      </w:r>
      <w:r>
        <w:rPr>
          <w:rFonts w:hint="eastAsia" w:ascii="仿宋" w:hAnsi="仿宋" w:eastAsia="仿宋" w:cs="仿宋"/>
          <w:color w:val="000000"/>
          <w:sz w:val="28"/>
          <w:szCs w:val="28"/>
          <w:u w:val="single"/>
        </w:rPr>
        <w:t>《深圳证券交易所创业板股票上市规则（2023年8月修订）》</w:t>
      </w:r>
      <w:r>
        <w:rPr>
          <w:rFonts w:hint="eastAsia" w:ascii="仿宋" w:hAnsi="仿宋" w:eastAsia="仿宋" w:cs="仿宋"/>
          <w:color w:val="000000"/>
          <w:sz w:val="28"/>
          <w:szCs w:val="28"/>
        </w:rPr>
        <w:t>第1.4条和</w:t>
      </w:r>
      <w:r>
        <w:rPr>
          <w:rFonts w:hint="eastAsia" w:ascii="仿宋" w:hAnsi="仿宋" w:eastAsia="仿宋" w:cs="仿宋"/>
          <w:color w:val="000000"/>
          <w:sz w:val="28"/>
          <w:szCs w:val="28"/>
          <w:u w:val="single"/>
        </w:rPr>
        <w:t>《深圳证券交易所上市公司自律监管指引第2号——创业板上市公司规范运作（2023年修订）》</w:t>
      </w:r>
      <w:r>
        <w:rPr>
          <w:rFonts w:hint="eastAsia" w:ascii="仿宋" w:hAnsi="仿宋" w:eastAsia="仿宋" w:cs="仿宋"/>
          <w:color w:val="000000"/>
          <w:sz w:val="28"/>
          <w:szCs w:val="28"/>
        </w:rPr>
        <w:t>第6.3.11条第二款的规定，对上市公司出具监管函。</w:t>
      </w: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【规则摘要】</w:t>
      </w:r>
    </w:p>
    <w:p>
      <w:pPr>
        <w:spacing w:line="360" w:lineRule="auto"/>
        <w:ind w:firstLine="560" w:firstLineChars="200"/>
        <w:rPr>
          <w:rFonts w:ascii="仿宋" w:hAnsi="仿宋" w:eastAsia="仿宋" w:cs="仿宋"/>
          <w:color w:val="000000"/>
          <w:sz w:val="28"/>
          <w:szCs w:val="28"/>
          <w:u w:val="single"/>
        </w:rPr>
      </w:pPr>
      <w:r>
        <w:rPr>
          <w:rFonts w:hint="eastAsia" w:ascii="仿宋" w:hAnsi="仿宋" w:eastAsia="仿宋" w:cs="仿宋"/>
          <w:color w:val="000000"/>
          <w:sz w:val="28"/>
          <w:szCs w:val="28"/>
          <w:u w:val="single"/>
        </w:rPr>
        <w:t>《深圳证券交易所上市公司自律监管指引第2号——创业板上市公司规范运作（2023年12月修订）》</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6.3.11……</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补充流动资金到期日之前，公司应当将该部分资金归还至募集资金专户，并在资金全部归还后两个交易日内公告。公司预计无法按期将该部分资金归还至募集资金专户的，应当在到期日前按照前款要求履行审议程序并及时公告，公告内容应当包括资金去向、无法归还的原因、继续用于补充流动资金的原因及期限等。</w:t>
      </w: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【信公提示】</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上市公司使用暂时闲置的募集资金用于补流，应当在补流到期前及时将募集资金归还至专户（一定要有归还的动作），若到期之前未将该部分资金全部归还至募集资金专户并延长当次使用期限，也属于违规使用募集资金。</w:t>
      </w:r>
    </w:p>
    <w:p>
      <w:pPr>
        <w:spacing w:line="360" w:lineRule="auto"/>
        <w:ind w:firstLine="562" w:firstLineChars="200"/>
        <w:rPr>
          <w:rFonts w:ascii="仿宋" w:hAnsi="仿宋" w:eastAsia="仿宋" w:cs="仿宋"/>
          <w:b/>
          <w:color w:val="000000"/>
          <w:sz w:val="28"/>
          <w:szCs w:val="28"/>
        </w:rPr>
      </w:pP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2</w:t>
      </w:r>
      <w:r>
        <w:rPr>
          <w:rFonts w:ascii="仿宋" w:hAnsi="仿宋" w:eastAsia="仿宋" w:cs="仿宋"/>
          <w:b/>
          <w:color w:val="000000"/>
          <w:sz w:val="28"/>
          <w:szCs w:val="28"/>
        </w:rPr>
        <w:t>.</w:t>
      </w:r>
      <w:r>
        <w:rPr>
          <w:rFonts w:hint="eastAsia" w:ascii="仿宋" w:hAnsi="仿宋" w:eastAsia="仿宋" w:cs="仿宋"/>
          <w:b/>
          <w:color w:val="000000"/>
          <w:sz w:val="28"/>
          <w:szCs w:val="28"/>
        </w:rPr>
        <w:t>从事衍生品交易无论金额大小均应当提交董事会审议</w:t>
      </w: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【案例简介】</w:t>
      </w:r>
    </w:p>
    <w:p>
      <w:pPr>
        <w:ind w:firstLine="560" w:firstLineChars="200"/>
        <w:rPr>
          <w:rFonts w:ascii="华文楷体" w:hAnsi="华文楷体" w:eastAsia="华文楷体"/>
          <w:sz w:val="24"/>
        </w:rPr>
      </w:pPr>
      <w:r>
        <w:rPr>
          <w:rFonts w:hint="eastAsia" w:ascii="仿宋" w:hAnsi="仿宋" w:eastAsia="仿宋" w:cs="仿宋"/>
          <w:color w:val="000000"/>
          <w:sz w:val="28"/>
          <w:szCs w:val="28"/>
        </w:rPr>
        <w:t>经查明，沪主板某上市公司于2023年8月22日披露《关于远期外汇交易产生汇兑损失的提示性公告》称，为锁定设备采购成本，公司分别于2022年12月5日远期锁汇买入30.23亿日元、2023年2月7日远期锁汇买入31.96亿日元。公司迟至2023年8月22日才就该事项补充履行董事会审议程序和信息披露义务。</w:t>
      </w: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【纪律处分及监管措施】</w:t>
      </w:r>
    </w:p>
    <w:p>
      <w:pPr>
        <w:spacing w:line="360" w:lineRule="auto"/>
        <w:ind w:firstLine="560" w:firstLineChars="200"/>
        <w:rPr>
          <w:rFonts w:ascii="华文楷体" w:hAnsi="华文楷体" w:eastAsia="华文楷体"/>
          <w:sz w:val="24"/>
        </w:rPr>
      </w:pPr>
      <w:r>
        <w:rPr>
          <w:rFonts w:hint="eastAsia" w:ascii="仿宋" w:hAnsi="仿宋" w:eastAsia="仿宋" w:cs="仿宋"/>
          <w:color w:val="000000"/>
          <w:sz w:val="28"/>
          <w:szCs w:val="28"/>
        </w:rPr>
        <w:t>上海证券交易所认为上市公司从事衍生品交易未履行董事会审议程序和披露义务，违反了</w:t>
      </w:r>
      <w:r>
        <w:rPr>
          <w:rFonts w:hint="eastAsia" w:ascii="仿宋" w:hAnsi="仿宋" w:eastAsia="仿宋" w:cs="仿宋"/>
          <w:color w:val="000000"/>
          <w:sz w:val="28"/>
          <w:szCs w:val="28"/>
          <w:u w:val="single"/>
        </w:rPr>
        <w:t>《上海证券交易所股票上市规则（2023年8月修订）》</w:t>
      </w:r>
      <w:r>
        <w:rPr>
          <w:rFonts w:hint="eastAsia" w:ascii="仿宋" w:hAnsi="仿宋" w:eastAsia="仿宋" w:cs="仿宋"/>
          <w:color w:val="000000"/>
          <w:sz w:val="28"/>
          <w:szCs w:val="28"/>
        </w:rPr>
        <w:t>（以下简称《股票上市规则》）第1.4条、第2.1.1条和</w:t>
      </w:r>
      <w:r>
        <w:rPr>
          <w:rFonts w:hint="eastAsia" w:ascii="仿宋" w:hAnsi="仿宋" w:eastAsia="仿宋" w:cs="仿宋"/>
          <w:color w:val="000000"/>
          <w:sz w:val="28"/>
          <w:szCs w:val="28"/>
          <w:u w:val="single"/>
        </w:rPr>
        <w:t>《上海证券交易所上市公司自律监管指引第5号——交易与关联交易》</w:t>
      </w:r>
      <w:r>
        <w:rPr>
          <w:rFonts w:hint="eastAsia" w:ascii="仿宋" w:hAnsi="仿宋" w:eastAsia="仿宋" w:cs="仿宋"/>
          <w:color w:val="000000"/>
          <w:sz w:val="28"/>
          <w:szCs w:val="28"/>
        </w:rPr>
        <w:t>第五十条等有关规定。</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上市公司时任董事长、时任总经理、违反了</w:t>
      </w:r>
      <w:r>
        <w:rPr>
          <w:rFonts w:hint="eastAsia" w:ascii="仿宋" w:hAnsi="仿宋" w:eastAsia="仿宋" w:cs="仿宋"/>
          <w:color w:val="000000"/>
          <w:sz w:val="28"/>
          <w:szCs w:val="28"/>
          <w:u w:val="single"/>
        </w:rPr>
        <w:t>《股票上市规则》</w:t>
      </w:r>
      <w:r>
        <w:rPr>
          <w:rFonts w:hint="eastAsia" w:ascii="仿宋" w:hAnsi="仿宋" w:eastAsia="仿宋" w:cs="仿宋"/>
          <w:color w:val="000000"/>
          <w:sz w:val="28"/>
          <w:szCs w:val="28"/>
        </w:rPr>
        <w:t>第2.1.2条、第4.3.1条、第4.4.2条等有关规定及其在《董事（监事、高级管理人员）声明及承诺书》中作出的承诺，对其予以监管警示。</w:t>
      </w: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【规则摘要】</w:t>
      </w:r>
    </w:p>
    <w:p>
      <w:pPr>
        <w:spacing w:line="360" w:lineRule="auto"/>
        <w:ind w:firstLine="560" w:firstLineChars="200"/>
        <w:rPr>
          <w:rFonts w:ascii="华文楷体" w:hAnsi="华文楷体" w:eastAsia="华文楷体"/>
          <w:b/>
          <w:sz w:val="24"/>
        </w:rPr>
      </w:pPr>
      <w:r>
        <w:rPr>
          <w:rFonts w:hint="eastAsia" w:ascii="仿宋" w:hAnsi="仿宋" w:eastAsia="仿宋" w:cs="仿宋"/>
          <w:color w:val="000000"/>
          <w:sz w:val="28"/>
          <w:szCs w:val="28"/>
          <w:u w:val="single"/>
        </w:rPr>
        <w:t>《上海证券交易所上市公司自律监管指引第5号——交易与关联交易》</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第五十条</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上市公司从事期货和衍生品交易，应当编制可行性分析报告并提交董事会审议，独立董事应当发表专项意见。</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期货和衍生品交易属于下列情形之一的，应当在董事会审议通过后提交股东大会审议：</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一）预计动用的交易保证金和权利金上限（包括为交易而提供的担保物价值、预计占用的金融机构授信额度、为应急措施所预留的保证金等，下同）占公司最近一期经审计净利润的50%以上，且绝对金额超过500万元人民币；</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（二）预计任一交易日持有的最高合约价值占公司最近一期经审计净资产的50%以上，且绝对金额超过5000万元人民币；</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（三）公司从事不以套期保值为目的的期货和衍生品交易。</w:t>
      </w:r>
    </w:p>
    <w:p>
      <w:pPr>
        <w:spacing w:line="360" w:lineRule="auto"/>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【信公提示】</w:t>
      </w:r>
    </w:p>
    <w:p>
      <w:pPr>
        <w:ind w:firstLine="560" w:firstLineChars="200"/>
      </w:pPr>
      <w:r>
        <w:rPr>
          <w:rFonts w:hint="eastAsia" w:ascii="仿宋" w:hAnsi="仿宋" w:eastAsia="仿宋" w:cs="仿宋"/>
          <w:color w:val="000000"/>
          <w:sz w:val="28"/>
          <w:szCs w:val="28"/>
        </w:rPr>
        <w:t>上市公司从事期货和衍生品交易，无论金额大小均应当提供可行性分析报告，提交董事会审议并及时履行信息披露义务。</w:t>
      </w:r>
    </w:p>
    <w:p>
      <w:pPr>
        <w:spacing w:line="360" w:lineRule="auto"/>
        <w:ind w:firstLine="560" w:firstLineChars="200"/>
        <w:rPr>
          <w:rFonts w:ascii="仿宋" w:hAnsi="仿宋" w:eastAsia="仿宋" w:cs="仿宋"/>
          <w:color w:val="000000"/>
          <w:sz w:val="28"/>
          <w:szCs w:val="28"/>
        </w:rPr>
      </w:pP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tabs>
        <w:tab w:val="left" w:pos="810"/>
        <w:tab w:val="clear" w:pos="4153"/>
        <w:tab w:val="clear" w:pos="8306"/>
      </w:tabs>
    </w:pPr>
  </w:p>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IzNmU3ZmFlODc4OTcxZDNkMzc3N2RkYzYxM2ZlZWIifQ=="/>
  </w:docVars>
  <w:rsids>
    <w:rsidRoot w:val="5CA456FA"/>
    <w:rsid w:val="00074D92"/>
    <w:rsid w:val="00091ABF"/>
    <w:rsid w:val="000925A6"/>
    <w:rsid w:val="000D2958"/>
    <w:rsid w:val="001201C0"/>
    <w:rsid w:val="00135E58"/>
    <w:rsid w:val="001733F4"/>
    <w:rsid w:val="001F1EDE"/>
    <w:rsid w:val="002071AC"/>
    <w:rsid w:val="002202DE"/>
    <w:rsid w:val="0023716C"/>
    <w:rsid w:val="002836A6"/>
    <w:rsid w:val="002860E7"/>
    <w:rsid w:val="002C52F1"/>
    <w:rsid w:val="002D46AF"/>
    <w:rsid w:val="00300266"/>
    <w:rsid w:val="00502292"/>
    <w:rsid w:val="00553805"/>
    <w:rsid w:val="00567A23"/>
    <w:rsid w:val="00634DD8"/>
    <w:rsid w:val="00662752"/>
    <w:rsid w:val="006A2010"/>
    <w:rsid w:val="006B4BC7"/>
    <w:rsid w:val="006E4910"/>
    <w:rsid w:val="00704D43"/>
    <w:rsid w:val="0077380A"/>
    <w:rsid w:val="007A5E44"/>
    <w:rsid w:val="00832BA2"/>
    <w:rsid w:val="008506FF"/>
    <w:rsid w:val="00905FA6"/>
    <w:rsid w:val="009233CE"/>
    <w:rsid w:val="0093672A"/>
    <w:rsid w:val="00947D35"/>
    <w:rsid w:val="00967ED2"/>
    <w:rsid w:val="009B4AF1"/>
    <w:rsid w:val="00A0048E"/>
    <w:rsid w:val="00A2065C"/>
    <w:rsid w:val="00A25C9D"/>
    <w:rsid w:val="00A450DC"/>
    <w:rsid w:val="00AB7415"/>
    <w:rsid w:val="00AE2C15"/>
    <w:rsid w:val="00AF5A65"/>
    <w:rsid w:val="00B12211"/>
    <w:rsid w:val="00B150AF"/>
    <w:rsid w:val="00BF15A3"/>
    <w:rsid w:val="00BF36C0"/>
    <w:rsid w:val="00C063F5"/>
    <w:rsid w:val="00C12FE9"/>
    <w:rsid w:val="00C14AC7"/>
    <w:rsid w:val="00C4787B"/>
    <w:rsid w:val="00C50CF6"/>
    <w:rsid w:val="00D4346F"/>
    <w:rsid w:val="00D75E24"/>
    <w:rsid w:val="00D803FB"/>
    <w:rsid w:val="00DC7C2E"/>
    <w:rsid w:val="00DD6843"/>
    <w:rsid w:val="00DF64B8"/>
    <w:rsid w:val="00E7735B"/>
    <w:rsid w:val="00E91625"/>
    <w:rsid w:val="00F216F4"/>
    <w:rsid w:val="00F94756"/>
    <w:rsid w:val="00FA2724"/>
    <w:rsid w:val="00FE5E55"/>
    <w:rsid w:val="00FF5D07"/>
    <w:rsid w:val="08324530"/>
    <w:rsid w:val="0C296002"/>
    <w:rsid w:val="111E6522"/>
    <w:rsid w:val="2DE34E7D"/>
    <w:rsid w:val="30AC56BF"/>
    <w:rsid w:val="383B2000"/>
    <w:rsid w:val="49DB6D16"/>
    <w:rsid w:val="4ABF3832"/>
    <w:rsid w:val="55BF28E5"/>
    <w:rsid w:val="58403A73"/>
    <w:rsid w:val="5CA456F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11">
    <w:name w:val="Default Paragraph Font"/>
    <w:autoRedefine/>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5"/>
    <w:autoRedefine/>
    <w:unhideWhenUsed/>
    <w:qFormat/>
    <w:uiPriority w:val="99"/>
    <w:pPr>
      <w:jc w:val="left"/>
    </w:pPr>
    <w:rPr>
      <w:rFonts w:asciiTheme="minorHAnsi" w:hAnsiTheme="minorHAnsi" w:eastAsiaTheme="minorEastAsia" w:cstheme="minorBidi"/>
      <w:szCs w:val="22"/>
    </w:rPr>
  </w:style>
  <w:style w:type="paragraph" w:styleId="4">
    <w:name w:val="Balloon Text"/>
    <w:basedOn w:val="1"/>
    <w:link w:val="16"/>
    <w:autoRedefine/>
    <w:unhideWhenUsed/>
    <w:qFormat/>
    <w:uiPriority w:val="99"/>
    <w:rPr>
      <w:rFonts w:asciiTheme="minorHAnsi" w:hAnsiTheme="minorHAnsi" w:eastAsiaTheme="minorEastAsia" w:cstheme="minorBidi"/>
      <w:sz w:val="18"/>
      <w:szCs w:val="18"/>
    </w:rPr>
  </w:style>
  <w:style w:type="paragraph" w:styleId="5">
    <w:name w:val="footer"/>
    <w:basedOn w:val="1"/>
    <w:link w:val="18"/>
    <w:autoRedefine/>
    <w:qFormat/>
    <w:uiPriority w:val="99"/>
    <w:pPr>
      <w:tabs>
        <w:tab w:val="center" w:pos="4153"/>
        <w:tab w:val="right" w:pos="8306"/>
      </w:tabs>
      <w:snapToGrid w:val="0"/>
      <w:jc w:val="left"/>
    </w:pPr>
    <w:rPr>
      <w:sz w:val="18"/>
    </w:rPr>
  </w:style>
  <w:style w:type="paragraph" w:styleId="6">
    <w:name w:val="header"/>
    <w:basedOn w:val="1"/>
    <w:link w:val="17"/>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paragraph" w:styleId="8">
    <w:name w:val="annotation subject"/>
    <w:basedOn w:val="3"/>
    <w:next w:val="3"/>
    <w:link w:val="21"/>
    <w:autoRedefine/>
    <w:unhideWhenUsed/>
    <w:qFormat/>
    <w:uiPriority w:val="99"/>
    <w:rPr>
      <w:b/>
      <w:bCs/>
    </w:rPr>
  </w:style>
  <w:style w:type="table" w:styleId="10">
    <w:name w:val="Table Grid"/>
    <w:basedOn w:val="9"/>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autoRedefine/>
    <w:qFormat/>
    <w:uiPriority w:val="22"/>
    <w:rPr>
      <w:b/>
      <w:bCs/>
    </w:rPr>
  </w:style>
  <w:style w:type="character" w:styleId="13">
    <w:name w:val="Hyperlink"/>
    <w:basedOn w:val="11"/>
    <w:autoRedefine/>
    <w:unhideWhenUsed/>
    <w:qFormat/>
    <w:uiPriority w:val="99"/>
    <w:rPr>
      <w:color w:val="000000"/>
      <w:u w:val="none"/>
    </w:rPr>
  </w:style>
  <w:style w:type="character" w:styleId="14">
    <w:name w:val="annotation reference"/>
    <w:basedOn w:val="11"/>
    <w:autoRedefine/>
    <w:unhideWhenUsed/>
    <w:qFormat/>
    <w:uiPriority w:val="99"/>
    <w:rPr>
      <w:sz w:val="21"/>
      <w:szCs w:val="21"/>
    </w:rPr>
  </w:style>
  <w:style w:type="character" w:customStyle="1" w:styleId="15">
    <w:name w:val="批注文字 Char"/>
    <w:basedOn w:val="11"/>
    <w:link w:val="3"/>
    <w:autoRedefine/>
    <w:qFormat/>
    <w:uiPriority w:val="99"/>
    <w:rPr>
      <w:rFonts w:asciiTheme="minorHAnsi" w:hAnsiTheme="minorHAnsi" w:eastAsiaTheme="minorEastAsia" w:cstheme="minorBidi"/>
      <w:kern w:val="2"/>
      <w:sz w:val="21"/>
      <w:szCs w:val="22"/>
    </w:rPr>
  </w:style>
  <w:style w:type="character" w:customStyle="1" w:styleId="16">
    <w:name w:val="批注框文本 Char"/>
    <w:basedOn w:val="11"/>
    <w:link w:val="4"/>
    <w:autoRedefine/>
    <w:qFormat/>
    <w:uiPriority w:val="99"/>
    <w:rPr>
      <w:rFonts w:asciiTheme="minorHAnsi" w:hAnsiTheme="minorHAnsi" w:eastAsiaTheme="minorEastAsia" w:cstheme="minorBidi"/>
      <w:kern w:val="2"/>
      <w:sz w:val="18"/>
      <w:szCs w:val="18"/>
    </w:rPr>
  </w:style>
  <w:style w:type="character" w:customStyle="1" w:styleId="17">
    <w:name w:val="页眉 Char"/>
    <w:basedOn w:val="11"/>
    <w:link w:val="6"/>
    <w:autoRedefine/>
    <w:qFormat/>
    <w:uiPriority w:val="99"/>
    <w:rPr>
      <w:rFonts w:ascii="Calibri" w:hAnsi="Calibri"/>
      <w:kern w:val="2"/>
      <w:sz w:val="18"/>
      <w:szCs w:val="24"/>
    </w:rPr>
  </w:style>
  <w:style w:type="character" w:customStyle="1" w:styleId="18">
    <w:name w:val="页脚 Char"/>
    <w:basedOn w:val="11"/>
    <w:link w:val="5"/>
    <w:autoRedefine/>
    <w:qFormat/>
    <w:uiPriority w:val="99"/>
    <w:rPr>
      <w:rFonts w:ascii="Calibri" w:hAnsi="Calibri"/>
      <w:kern w:val="2"/>
      <w:sz w:val="18"/>
      <w:szCs w:val="24"/>
    </w:rPr>
  </w:style>
  <w:style w:type="paragraph" w:styleId="19">
    <w:name w:val="List Paragraph"/>
    <w:basedOn w:val="1"/>
    <w:autoRedefine/>
    <w:qFormat/>
    <w:uiPriority w:val="34"/>
    <w:pPr>
      <w:ind w:firstLine="420" w:firstLineChars="200"/>
    </w:pPr>
    <w:rPr>
      <w:rFonts w:asciiTheme="minorHAnsi" w:hAnsiTheme="minorHAnsi" w:eastAsiaTheme="minorEastAsia" w:cstheme="minorBidi"/>
      <w:szCs w:val="22"/>
    </w:rPr>
  </w:style>
  <w:style w:type="paragraph" w:customStyle="1" w:styleId="20">
    <w:name w:val="List Paragraph1"/>
    <w:basedOn w:val="1"/>
    <w:autoRedefine/>
    <w:qFormat/>
    <w:uiPriority w:val="0"/>
    <w:pPr>
      <w:ind w:firstLine="420" w:firstLineChars="200"/>
    </w:pPr>
    <w:rPr>
      <w:szCs w:val="21"/>
    </w:rPr>
  </w:style>
  <w:style w:type="character" w:customStyle="1" w:styleId="21">
    <w:name w:val="批注主题 Char"/>
    <w:basedOn w:val="15"/>
    <w:link w:val="8"/>
    <w:autoRedefine/>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F:\2017&#20449;&#20844;&#21672;&#35810;&#23454;&#20064;\&#19978;&#24066;&#20844;&#21496;&#21160;&#24577;\2&#26376;\&#21327;&#20250;&#21160;&#24577;&#21069;&#20004;&#27573;&#21450;&#34892;&#19994;&#24066;&#20540;&#20998;&#24067;&#12289;&#24066;&#20540;&#25490;&#21517;&#21069;&#21313;&#32929;&#3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2017&#20449;&#20844;&#21672;&#35810;&#23454;&#20064;\&#19978;&#24066;&#20844;&#21496;&#21160;&#24577;\2&#26376;\&#21327;&#20250;&#21160;&#24577;&#21069;&#20004;&#27573;&#21450;&#34892;&#19994;&#24066;&#20540;&#20998;&#24067;&#12289;&#24066;&#20540;&#25490;&#21517;&#21069;&#21313;&#32929;&#3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2017&#20449;&#20844;&#21672;&#35810;&#23454;&#20064;\&#19978;&#24066;&#20844;&#21496;&#21160;&#24577;\2&#26376;\&#26376;&#25104;&#20132;&#3906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Pt>
            <c:idx val="3"/>
            <c:bubble3D val="0"/>
            <c:spPr>
              <a:solidFill>
                <a:schemeClr val="accent4"/>
              </a:solidFill>
              <a:ln>
                <a:noFill/>
              </a:ln>
              <a:effectLst/>
            </c:spPr>
          </c:dPt>
          <c:dPt>
            <c:idx val="4"/>
            <c:bubble3D val="0"/>
            <c:spPr>
              <a:solidFill>
                <a:schemeClr val="accent5"/>
              </a:solidFill>
              <a:ln>
                <a:noFill/>
              </a:ln>
              <a:effectLst/>
            </c:spPr>
          </c:dPt>
          <c:dPt>
            <c:idx val="5"/>
            <c:bubble3D val="0"/>
            <c:spPr>
              <a:solidFill>
                <a:schemeClr val="accent6"/>
              </a:solidFill>
              <a:ln>
                <a:noFill/>
              </a:ln>
              <a:effectLst/>
            </c:spPr>
          </c:dPt>
          <c:dPt>
            <c:idx val="6"/>
            <c:bubble3D val="0"/>
            <c:spPr>
              <a:solidFill>
                <a:schemeClr val="accent1">
                  <a:lumMod val="60000"/>
                </a:schemeClr>
              </a:solidFill>
              <a:ln>
                <a:noFill/>
              </a:ln>
              <a:effectLst/>
            </c:spPr>
          </c:dPt>
          <c:dPt>
            <c:idx val="7"/>
            <c:bubble3D val="0"/>
            <c:spPr>
              <a:solidFill>
                <a:schemeClr val="accent2">
                  <a:lumMod val="60000"/>
                </a:schemeClr>
              </a:solidFill>
              <a:ln>
                <a:noFill/>
              </a:ln>
              <a:effectLst/>
            </c:spPr>
          </c:dPt>
          <c:dPt>
            <c:idx val="8"/>
            <c:bubble3D val="0"/>
            <c:spPr>
              <a:solidFill>
                <a:schemeClr val="accent3">
                  <a:lumMod val="60000"/>
                </a:schemeClr>
              </a:solidFill>
              <a:ln>
                <a:noFill/>
              </a:ln>
              <a:effectLst/>
            </c:spPr>
          </c:dPt>
          <c:dLbls>
            <c:dLbl>
              <c:idx val="4"/>
              <c:layout>
                <c:manualLayout>
                  <c:x val="0.00843170320404722"/>
                  <c:y val="0.0657894736842105"/>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5"/>
              <c:layout>
                <c:manualLayout>
                  <c:x val="-0.0202887581716704"/>
                  <c:y val="0.088450148501174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6"/>
              <c:layout>
                <c:manualLayout>
                  <c:x val="-0.0749063670411985"/>
                  <c:y val="0"/>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7"/>
              <c:layout>
                <c:manualLayout>
                  <c:x val="-0.00998751560549318"/>
                  <c:y val="0"/>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8"/>
              <c:layout>
                <c:manualLayout>
                  <c:x val="0.0558723161291179"/>
                  <c:y val="0"/>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shade val="95000"/>
                          <a:satMod val="105000"/>
                        </a:schemeClr>
                      </a:solidFill>
                      <a:prstDash val="solid"/>
                      <a:round/>
                    </a:ln>
                    <a:effectLst/>
                  </c:spPr>
                </c15:leaderLines>
              </c:ext>
            </c:extLst>
          </c:dLbls>
          <c:cat>
            <c:strRef>
              <c:f>Sheet2!$A$18:$A$26</c:f>
              <c:strCache>
                <c:ptCount val="9"/>
                <c:pt idx="0">
                  <c:v>日常消费</c:v>
                </c:pt>
                <c:pt idx="1">
                  <c:v>材料</c:v>
                </c:pt>
                <c:pt idx="2">
                  <c:v>工业</c:v>
                </c:pt>
                <c:pt idx="3">
                  <c:v>信息技术</c:v>
                </c:pt>
                <c:pt idx="4">
                  <c:v>医疗保健</c:v>
                </c:pt>
                <c:pt idx="5">
                  <c:v>可选消费</c:v>
                </c:pt>
                <c:pt idx="6">
                  <c:v>金融</c:v>
                </c:pt>
                <c:pt idx="7">
                  <c:v>能源</c:v>
                </c:pt>
                <c:pt idx="8">
                  <c:v>公用事业</c:v>
                </c:pt>
              </c:strCache>
            </c:strRef>
          </c:cat>
          <c:val>
            <c:numRef>
              <c:f>Sheet2!$B$18:$B$26</c:f>
              <c:numCache>
                <c:formatCode>General</c:formatCode>
                <c:ptCount val="9"/>
                <c:pt idx="0">
                  <c:v>3662.24</c:v>
                </c:pt>
                <c:pt idx="1">
                  <c:v>3565.78</c:v>
                </c:pt>
                <c:pt idx="2">
                  <c:v>1975.36</c:v>
                </c:pt>
                <c:pt idx="3">
                  <c:v>1383.79</c:v>
                </c:pt>
                <c:pt idx="4">
                  <c:v>1313.14</c:v>
                </c:pt>
                <c:pt idx="5">
                  <c:v>725.15</c:v>
                </c:pt>
                <c:pt idx="6">
                  <c:v>514.49</c:v>
                </c:pt>
                <c:pt idx="7">
                  <c:v>407.8</c:v>
                </c:pt>
                <c:pt idx="8">
                  <c:v>208.93</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rgbClr val="D9D9D9"/>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Sheet3!$B$1</c:f>
              <c:strCache>
                <c:ptCount val="1"/>
                <c:pt idx="0">
                  <c:v>市值（亿元）（2023-12-31）</c:v>
                </c:pt>
              </c:strCache>
            </c:strRef>
          </c:tx>
          <c:spPr>
            <a:solidFill>
              <a:srgbClr val="C0504D"/>
            </a:solidFill>
          </c:spPr>
          <c:invertIfNegative val="0"/>
          <c:dLbls>
            <c:numFmt formatCode="#,##0.00_);[Red]\(#,##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Sheet3!$A$2:$A$11</c:f>
              <c:strCache>
                <c:ptCount val="10"/>
                <c:pt idx="0">
                  <c:v>牧原股份</c:v>
                </c:pt>
                <c:pt idx="1">
                  <c:v>洛阳钼业</c:v>
                </c:pt>
                <c:pt idx="2">
                  <c:v>双汇发展</c:v>
                </c:pt>
                <c:pt idx="3">
                  <c:v>中航光电</c:v>
                </c:pt>
                <c:pt idx="4">
                  <c:v>龙佰集团</c:v>
                </c:pt>
                <c:pt idx="5">
                  <c:v>华兰生物</c:v>
                </c:pt>
                <c:pt idx="6">
                  <c:v>神火股份</c:v>
                </c:pt>
                <c:pt idx="7">
                  <c:v>安图生物</c:v>
                </c:pt>
                <c:pt idx="8">
                  <c:v>宇通客车</c:v>
                </c:pt>
                <c:pt idx="9">
                  <c:v>平煤股份</c:v>
                </c:pt>
              </c:strCache>
            </c:strRef>
          </c:cat>
          <c:val>
            <c:numRef>
              <c:f>Sheet3!$B$2:$B$11</c:f>
              <c:numCache>
                <c:formatCode>General</c:formatCode>
                <c:ptCount val="10"/>
                <c:pt idx="0">
                  <c:v>2250.63</c:v>
                </c:pt>
                <c:pt idx="1">
                  <c:v>1123.16</c:v>
                </c:pt>
                <c:pt idx="2">
                  <c:v>925.41</c:v>
                </c:pt>
                <c:pt idx="3">
                  <c:v>826.82</c:v>
                </c:pt>
                <c:pt idx="4">
                  <c:v>408.77</c:v>
                </c:pt>
                <c:pt idx="5">
                  <c:v>404.71</c:v>
                </c:pt>
                <c:pt idx="6">
                  <c:v>377.95</c:v>
                </c:pt>
                <c:pt idx="7">
                  <c:v>334.23</c:v>
                </c:pt>
                <c:pt idx="8">
                  <c:v>293.35</c:v>
                </c:pt>
                <c:pt idx="9">
                  <c:v>267.48</c:v>
                </c:pt>
              </c:numCache>
            </c:numRef>
          </c:val>
        </c:ser>
        <c:dLbls>
          <c:showLegendKey val="0"/>
          <c:showVal val="1"/>
          <c:showCatName val="0"/>
          <c:showSerName val="0"/>
          <c:showPercent val="0"/>
          <c:showBubbleSize val="0"/>
        </c:dLbls>
        <c:gapWidth val="75"/>
        <c:axId val="370008800"/>
        <c:axId val="370009344"/>
      </c:barChart>
      <c:catAx>
        <c:axId val="37000880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70009344"/>
        <c:crosses val="autoZero"/>
        <c:auto val="1"/>
        <c:lblAlgn val="ctr"/>
        <c:lblOffset val="100"/>
        <c:noMultiLvlLbl val="0"/>
      </c:catAx>
      <c:valAx>
        <c:axId val="370009344"/>
        <c:scaling>
          <c:orientation val="minMax"/>
          <c:max val="2500"/>
        </c:scaling>
        <c:delete val="0"/>
        <c:axPos val="l"/>
        <c:majorGridlines>
          <c:spPr>
            <a:ln w="9525" cap="flat" cmpd="sng" algn="ctr">
              <a:noFill/>
              <a:prstDash val="solid"/>
              <a:round/>
            </a:ln>
          </c:spPr>
        </c:majorGridlines>
        <c:numFmt formatCode="#,##0.00_);[Red]\(#,##0.00\)" sourceLinked="0"/>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70008800"/>
        <c:crosses val="autoZero"/>
        <c:crossBetween val="between"/>
        <c:majorUnit val="625"/>
      </c:valAx>
      <c:spPr>
        <a:ln>
          <a:noFill/>
        </a:ln>
      </c:spPr>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solidFill>
        <a:srgbClr val="D9D9D9"/>
      </a:solidFill>
      <a:prstDash val="solid"/>
      <a:round/>
    </a:ln>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月成交额（亿元）</c:v>
                </c:pt>
              </c:strCache>
            </c:strRef>
          </c:tx>
          <c:spPr>
            <a:solidFill>
              <a:srgbClr val="C0504D"/>
            </a:solidFill>
          </c:spPr>
          <c:invertIfNegative val="0"/>
          <c:dLbls>
            <c:numFmt formatCode="#,##0.00_);[Red]\(#,##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Sheet1!$A$2:$A$11</c:f>
              <c:strCache>
                <c:ptCount val="10"/>
                <c:pt idx="0">
                  <c:v>牧原股份</c:v>
                </c:pt>
                <c:pt idx="1">
                  <c:v>洛阳钼业</c:v>
                </c:pt>
                <c:pt idx="2">
                  <c:v>汉威科技</c:v>
                </c:pt>
                <c:pt idx="3">
                  <c:v>中光学</c:v>
                </c:pt>
                <c:pt idx="4">
                  <c:v>莲花健康</c:v>
                </c:pt>
                <c:pt idx="5">
                  <c:v>中航光电</c:v>
                </c:pt>
                <c:pt idx="6">
                  <c:v>中原传媒</c:v>
                </c:pt>
                <c:pt idx="7">
                  <c:v>神火股份</c:v>
                </c:pt>
                <c:pt idx="8">
                  <c:v>拓新药业</c:v>
                </c:pt>
                <c:pt idx="9">
                  <c:v>平煤股份</c:v>
                </c:pt>
              </c:strCache>
            </c:strRef>
          </c:cat>
          <c:val>
            <c:numRef>
              <c:f>Sheet1!$B$2:$B$11</c:f>
              <c:numCache>
                <c:formatCode>###,###,###,##0.0000</c:formatCode>
                <c:ptCount val="10"/>
                <c:pt idx="0">
                  <c:v>167.37</c:v>
                </c:pt>
                <c:pt idx="1">
                  <c:v>121.2</c:v>
                </c:pt>
                <c:pt idx="2">
                  <c:v>115.2</c:v>
                </c:pt>
                <c:pt idx="3">
                  <c:v>110.02</c:v>
                </c:pt>
                <c:pt idx="4">
                  <c:v>92.74</c:v>
                </c:pt>
                <c:pt idx="5">
                  <c:v>91.78</c:v>
                </c:pt>
                <c:pt idx="6">
                  <c:v>75</c:v>
                </c:pt>
                <c:pt idx="7">
                  <c:v>74.59</c:v>
                </c:pt>
                <c:pt idx="8">
                  <c:v>73.86</c:v>
                </c:pt>
                <c:pt idx="9">
                  <c:v>71.69</c:v>
                </c:pt>
              </c:numCache>
            </c:numRef>
          </c:val>
        </c:ser>
        <c:dLbls>
          <c:showLegendKey val="0"/>
          <c:showVal val="1"/>
          <c:showCatName val="0"/>
          <c:showSerName val="0"/>
          <c:showPercent val="0"/>
          <c:showBubbleSize val="0"/>
        </c:dLbls>
        <c:gapWidth val="75"/>
        <c:axId val="370330208"/>
        <c:axId val="370325312"/>
      </c:barChart>
      <c:catAx>
        <c:axId val="370330208"/>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70325312"/>
        <c:crosses val="autoZero"/>
        <c:auto val="1"/>
        <c:lblAlgn val="ctr"/>
        <c:lblOffset val="100"/>
        <c:noMultiLvlLbl val="0"/>
      </c:catAx>
      <c:valAx>
        <c:axId val="370325312"/>
        <c:scaling>
          <c:orientation val="minMax"/>
          <c:max val="200"/>
        </c:scaling>
        <c:delete val="0"/>
        <c:axPos val="l"/>
        <c:numFmt formatCode="#,##0.00_);[Red]\(#,##0.00\)" sourceLinked="0"/>
        <c:majorTickMark val="out"/>
        <c:minorTickMark val="none"/>
        <c:tickLblPos val="nextTo"/>
        <c:spPr>
          <a:ln w="9525" cap="flat" cmpd="sng" algn="ctr">
            <a:no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70330208"/>
        <c:crosses val="autoZero"/>
        <c:crossBetween val="between"/>
        <c:majorUnit val="50"/>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solidFill>
        <a:srgbClr val="D9D9D9"/>
      </a:solidFill>
      <a:prstDash val="solid"/>
      <a:round/>
    </a:ln>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4">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Microsoft</Company>
  <Pages>19</Pages>
  <Words>5372</Words>
  <Characters>6769</Characters>
  <Lines>520</Lines>
  <Paragraphs>607</Paragraphs>
  <TotalTime>126</TotalTime>
  <ScaleCrop>false</ScaleCrop>
  <LinksUpToDate>false</LinksUpToDate>
  <CharactersWithSpaces>11534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2019-03-11T01:10:00Z</dcterms:created>
  <dc:creator>Annie</dc:creator>
  <cp:lastModifiedBy>北乔峰</cp:lastModifiedBy>
  <cp:lastPrinted>2019-03-05T08:32:00Z</cp:lastPrinted>
  <dcterms:modified xsi:type="dcterms:W3CDTF">2024-01-12T04:35:48Z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50616B83EDE8467690FAA5B3EE5429EE_13</vt:lpwstr>
  </property>
</Properties>
</file>